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spacing w:after="0"/>
        <w:jc w:val="left"/>
        <w:rPr>
          <w:b/>
          <w:kern w:val="2"/>
          <w:lang w:eastAsia="zh-CN"/>
        </w:rPr>
      </w:pPr>
      <w:bookmarkStart w:id="0" w:name="OLE_LINK26"/>
      <w:r>
        <w:rPr>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0" name="任意多边形 18"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任意多边形 18"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kern w:val="2"/>
          <w:lang w:eastAsia="zh-CN"/>
        </w:rPr>
        <w:t>3GPP TSG RAN WG1 Meeting #10</w:t>
      </w:r>
      <w:r>
        <w:rPr>
          <w:rFonts w:hint="eastAsia"/>
          <w:b/>
          <w:kern w:val="2"/>
          <w:lang w:val="en-US" w:eastAsia="zh-CN"/>
        </w:rPr>
        <w:t>6</w:t>
      </w:r>
      <w:r>
        <w:rPr>
          <w:b/>
          <w:kern w:val="2"/>
          <w:lang w:eastAsia="zh-CN"/>
        </w:rPr>
        <w:t>-e</w:t>
      </w:r>
      <w:r>
        <w:rPr>
          <w:b/>
          <w:kern w:val="2"/>
          <w:lang w:eastAsia="zh-CN"/>
        </w:rPr>
        <w:tab/>
      </w:r>
      <w:r>
        <w:rPr>
          <w:b/>
          <w:kern w:val="2"/>
          <w:lang w:eastAsia="zh-CN"/>
        </w:rPr>
        <w:t>R1-</w:t>
      </w:r>
      <w:r>
        <w:rPr>
          <w:rFonts w:hint="eastAsia"/>
          <w:b/>
          <w:kern w:val="2"/>
          <w:lang w:eastAsia="zh-CN"/>
        </w:rPr>
        <w:t>2108095</w:t>
      </w:r>
    </w:p>
    <w:bookmarkEnd w:id="0"/>
    <w:p>
      <w:pPr>
        <w:jc w:val="left"/>
        <w:rPr>
          <w:b/>
        </w:rPr>
      </w:pPr>
      <w:r>
        <w:rPr>
          <w:b/>
          <w:kern w:val="2"/>
          <w:lang w:eastAsia="zh-CN"/>
        </w:rPr>
        <w:t xml:space="preserve">E-meeting, </w:t>
      </w:r>
      <w:bookmarkStart w:id="5" w:name="_GoBack"/>
      <w:r>
        <w:rPr>
          <w:rFonts w:hint="eastAsia"/>
          <w:b/>
          <w:kern w:val="2"/>
          <w:lang w:val="en-US" w:eastAsia="zh-CN"/>
        </w:rPr>
        <w:t>August</w:t>
      </w:r>
      <w:r>
        <w:rPr>
          <w:b/>
          <w:kern w:val="2"/>
          <w:lang w:eastAsia="zh-CN"/>
        </w:rPr>
        <w:t xml:space="preserve"> 1</w:t>
      </w:r>
      <w:r>
        <w:rPr>
          <w:rFonts w:hint="eastAsia"/>
          <w:b/>
          <w:kern w:val="2"/>
          <w:lang w:val="en-US" w:eastAsia="zh-CN"/>
        </w:rPr>
        <w:t>6</w:t>
      </w:r>
      <w:r>
        <w:rPr>
          <w:b/>
          <w:kern w:val="2"/>
          <w:lang w:eastAsia="zh-CN"/>
        </w:rPr>
        <w:t xml:space="preserve"> – </w:t>
      </w:r>
      <w:r>
        <w:rPr>
          <w:rFonts w:hint="eastAsia"/>
          <w:b/>
          <w:kern w:val="2"/>
          <w:lang w:val="en-US" w:eastAsia="zh-CN"/>
        </w:rPr>
        <w:t>August</w:t>
      </w:r>
      <w:r>
        <w:rPr>
          <w:b/>
          <w:kern w:val="2"/>
          <w:lang w:eastAsia="zh-CN"/>
        </w:rPr>
        <w:t xml:space="preserve"> 27, 2021</w:t>
      </w:r>
    </w:p>
    <w:bookmarkEnd w:id="5"/>
    <w:p>
      <w:pPr>
        <w:pBdr>
          <w:top w:val="single" w:color="auto" w:sz="4" w:space="0"/>
        </w:pBdr>
        <w:spacing w:after="0"/>
        <w:jc w:val="left"/>
        <w:rPr>
          <w:b/>
          <w:bCs/>
          <w:sz w:val="16"/>
          <w:szCs w:val="16"/>
        </w:rPr>
      </w:pPr>
    </w:p>
    <w:p>
      <w:pPr>
        <w:spacing w:after="60"/>
        <w:ind w:left="1555" w:hanging="1555"/>
        <w:jc w:val="left"/>
        <w:rPr>
          <w:rFonts w:eastAsia="MS PGothic"/>
          <w:b/>
          <w:color w:val="000000" w:themeColor="text1"/>
          <w:lang w:val="en-US" w:eastAsia="zh-CN"/>
          <w14:textFill>
            <w14:solidFill>
              <w14:schemeClr w14:val="tx1"/>
            </w14:solidFill>
          </w14:textFill>
        </w:rPr>
      </w:pPr>
      <w:r>
        <w:rPr>
          <w:b/>
        </w:rPr>
        <w:t>Agenda Item:</w:t>
      </w:r>
      <w:r>
        <w:rPr>
          <w:b/>
        </w:rPr>
        <w:tab/>
      </w:r>
      <w:r>
        <w:rPr>
          <w:b/>
          <w:lang w:eastAsia="zh-CN"/>
        </w:rPr>
        <w:t>8.15.1</w:t>
      </w:r>
    </w:p>
    <w:p>
      <w:pPr>
        <w:spacing w:after="60"/>
        <w:ind w:left="1555" w:hanging="1555"/>
        <w:jc w:val="left"/>
        <w:rPr>
          <w:b/>
          <w:lang w:eastAsia="zh-CN"/>
        </w:rPr>
      </w:pPr>
      <w:r>
        <w:rPr>
          <w:b/>
        </w:rPr>
        <w:t>Source:</w:t>
      </w:r>
      <w:r>
        <w:rPr>
          <w:b/>
        </w:rPr>
        <w:tab/>
      </w:r>
      <w:r>
        <w:rPr>
          <w:rFonts w:hint="eastAsia"/>
          <w:b/>
        </w:rPr>
        <w:t>Guangdong Communications and Networks Institute</w:t>
      </w:r>
    </w:p>
    <w:p>
      <w:pPr>
        <w:spacing w:after="60"/>
        <w:ind w:left="1555" w:hanging="1555"/>
        <w:jc w:val="left"/>
        <w:rPr>
          <w:b/>
          <w:lang w:val="en-US" w:eastAsia="zh-CN"/>
        </w:rPr>
      </w:pPr>
      <w:r>
        <w:rPr>
          <w:b/>
        </w:rPr>
        <w:t>Title:</w:t>
      </w:r>
      <w:r>
        <w:rPr>
          <w:b/>
        </w:rPr>
        <w:tab/>
      </w:r>
      <w:r>
        <w:rPr>
          <w:rFonts w:hint="eastAsia"/>
          <w:b/>
          <w:bCs/>
        </w:rPr>
        <w:t>Applicable scenarios to NB-IoT in NTN</w:t>
      </w:r>
    </w:p>
    <w:p>
      <w:pPr>
        <w:spacing w:after="60"/>
        <w:ind w:left="1555" w:hanging="1555"/>
        <w:jc w:val="left"/>
        <w:rPr>
          <w:b/>
        </w:rPr>
      </w:pPr>
      <w:r>
        <w:rPr>
          <w:b/>
          <w:bCs/>
        </w:rPr>
        <w:t>Document for:</w:t>
      </w:r>
      <w:r>
        <w:rPr>
          <w:b/>
          <w:bCs/>
        </w:rPr>
        <w:tab/>
      </w:r>
      <w:r>
        <w:rPr>
          <w:b/>
          <w:bCs/>
        </w:rPr>
        <w:t>Discussion</w:t>
      </w:r>
    </w:p>
    <w:p>
      <w:pPr>
        <w:pBdr>
          <w:bottom w:val="single" w:color="auto" w:sz="4" w:space="1"/>
        </w:pBdr>
        <w:spacing w:after="0"/>
        <w:jc w:val="left"/>
        <w:rPr>
          <w:b/>
          <w:bCs/>
          <w:sz w:val="16"/>
          <w:szCs w:val="16"/>
        </w:rPr>
      </w:pPr>
    </w:p>
    <w:p>
      <w:pPr>
        <w:pStyle w:val="2"/>
        <w:ind w:left="431" w:hanging="431"/>
        <w:rPr>
          <w:rFonts w:eastAsiaTheme="minorEastAsia"/>
        </w:rPr>
      </w:pPr>
      <w:bookmarkStart w:id="1" w:name="_Ref124671424"/>
      <w:bookmarkStart w:id="2" w:name="_Ref124589665"/>
      <w:bookmarkStart w:id="3" w:name="_Ref71620620"/>
      <w:r>
        <w:rPr>
          <w:rFonts w:eastAsiaTheme="minorEastAsia"/>
        </w:rPr>
        <w:t>Introduction</w:t>
      </w:r>
    </w:p>
    <w:p>
      <w:r>
        <w:rPr>
          <w:rFonts w:hint="eastAsia"/>
          <w:lang w:val="en-US" w:eastAsia="zh-CN"/>
        </w:rPr>
        <w:t>The new Study Item-</w:t>
      </w:r>
      <w:r>
        <w:rPr>
          <w:rFonts w:hint="default"/>
          <w:lang w:val="en-US" w:eastAsia="zh-CN"/>
        </w:rPr>
        <w:t>”</w:t>
      </w:r>
      <w:r>
        <w:rPr>
          <w:rFonts w:hint="eastAsia"/>
          <w:lang w:val="en-US" w:eastAsia="zh-CN"/>
        </w:rPr>
        <w:t>IoT Non Terrestrial Network</w:t>
      </w:r>
      <w:r>
        <w:rPr>
          <w:rFonts w:hint="default"/>
          <w:lang w:val="en-US" w:eastAsia="zh-CN"/>
        </w:rPr>
        <w:t>”</w:t>
      </w:r>
      <w:r>
        <w:rPr>
          <w:rFonts w:hint="eastAsia"/>
          <w:lang w:val="en-US" w:eastAsia="zh-CN"/>
        </w:rPr>
        <w:t xml:space="preserve"> was proposed at the RAN#86, and RAN#91 has revised it [1]. In RAN#91-e, companies agreed to accelerate the study of IoT over NTN. At</w:t>
      </w:r>
      <w:r>
        <w:t xml:space="preserve"> RAN#91-e GTW, a Way Forward Proposal in [3]</w:t>
      </w:r>
      <w:r>
        <w:rPr>
          <w:rFonts w:hint="eastAsia"/>
          <w:lang w:val="en-US" w:eastAsia="zh-CN"/>
        </w:rPr>
        <w:t xml:space="preserve"> on </w:t>
      </w:r>
      <w:r>
        <w:t>email discussion on [50][New_proposals_approval]</w:t>
      </w:r>
      <w:r>
        <w:rPr>
          <w:rFonts w:hint="eastAsia"/>
          <w:lang w:val="en-US" w:eastAsia="zh-CN"/>
        </w:rPr>
        <w:t xml:space="preserve"> has reached to an agreement. </w:t>
      </w:r>
      <w:r>
        <w:t>This included guidance from RAN Chairman</w:t>
      </w:r>
      <w:r>
        <w:rPr>
          <w:rFonts w:hint="eastAsia"/>
          <w:lang w:val="en-US" w:eastAsia="zh-CN"/>
        </w:rPr>
        <w:t xml:space="preserve"> [4]</w:t>
      </w:r>
      <w:r>
        <w:t xml:space="preserve"> for NTN NR and NTN IoT as follows</w:t>
      </w:r>
    </w:p>
    <w:p>
      <w:pPr>
        <w:pStyle w:val="9"/>
        <w:numPr>
          <w:ilvl w:val="0"/>
          <w:numId w:val="3"/>
        </w:numPr>
        <w:spacing w:after="0"/>
        <w:jc w:val="both"/>
        <w:rPr>
          <w:i/>
          <w:highlight w:val="yellow"/>
        </w:rPr>
      </w:pPr>
      <w:r>
        <w:rPr>
          <w:i/>
          <w:highlight w:val="yellow"/>
        </w:rPr>
        <w:t>RAN#92E (June) to finalize the scope and project plan to deliver the essential minimum functionality of both NTN NR and NTN IoT (both NB-IoT and eMTC) within the existing TU allocations</w:t>
      </w:r>
    </w:p>
    <w:p>
      <w:pPr>
        <w:pStyle w:val="9"/>
        <w:numPr>
          <w:ilvl w:val="0"/>
          <w:numId w:val="3"/>
        </w:numPr>
        <w:spacing w:after="0"/>
        <w:jc w:val="both"/>
        <w:rPr>
          <w:i/>
          <w:highlight w:val="yellow"/>
        </w:rPr>
      </w:pPr>
      <w:r>
        <w:rPr>
          <w:i/>
          <w:highlight w:val="yellow"/>
        </w:rPr>
        <w:t>Detailed scoping exercise (NTN NR WID revision, NTN IoT WID approval) to be undertaken at RAN#92E (June)</w:t>
      </w:r>
    </w:p>
    <w:p>
      <w:pPr>
        <w:pStyle w:val="4"/>
        <w:rPr>
          <w:rFonts w:hint="default"/>
          <w:color w:val="0000FF"/>
          <w:lang w:val="en-US" w:eastAsia="zh-CN"/>
        </w:rPr>
      </w:pPr>
      <w:r>
        <w:rPr>
          <w:color w:val="auto"/>
        </w:rPr>
        <w:t xml:space="preserve">In this contribution, we provide </w:t>
      </w:r>
      <w:r>
        <w:rPr>
          <w:rFonts w:hint="eastAsia"/>
          <w:color w:val="auto"/>
          <w:lang w:val="en-US" w:eastAsia="zh-CN"/>
        </w:rPr>
        <w:t>add a new use case based on [6], and listed the maximum Doppler shift in different orbit height. The high Doppler shift</w:t>
      </w:r>
      <w:r>
        <w:rPr>
          <w:rFonts w:hint="eastAsia"/>
          <w:color w:val="0000FF"/>
          <w:lang w:val="en-US" w:eastAsia="zh-CN"/>
        </w:rPr>
        <w:t xml:space="preserve"> </w:t>
      </w:r>
      <w:r>
        <w:rPr>
          <w:rFonts w:hint="eastAsia"/>
          <w:lang w:val="en-US" w:eastAsia="zh-CN"/>
        </w:rPr>
        <w:t>may lead to additional requirement on repetition for IoT UE.</w:t>
      </w:r>
    </w:p>
    <w:p>
      <w:pPr>
        <w:pStyle w:val="2"/>
        <w:ind w:left="431" w:hanging="431"/>
        <w:rPr>
          <w:rFonts w:eastAsiaTheme="minorEastAsia"/>
          <w:lang w:eastAsia="zh-CN"/>
        </w:rPr>
      </w:pPr>
      <w:r>
        <w:rPr>
          <w:rFonts w:eastAsiaTheme="minorEastAsia"/>
          <w:lang w:eastAsia="zh-CN"/>
        </w:rPr>
        <w:t>Discussion</w:t>
      </w:r>
    </w:p>
    <w:p>
      <w:pPr>
        <w:pStyle w:val="3"/>
        <w:tabs>
          <w:tab w:val="left" w:pos="576"/>
          <w:tab w:val="clear" w:pos="3411"/>
        </w:tabs>
        <w:ind w:left="576"/>
        <w:rPr>
          <w:lang w:eastAsia="zh-CN"/>
        </w:rPr>
      </w:pPr>
      <w:r>
        <w:rPr>
          <w:lang w:eastAsia="zh-CN"/>
        </w:rPr>
        <w:t>Use cases and performance requirement</w:t>
      </w:r>
    </w:p>
    <w:p>
      <w:pPr>
        <w:rPr>
          <w:lang w:eastAsia="zh-CN"/>
        </w:rPr>
      </w:pPr>
      <w:r>
        <w:rPr>
          <w:rFonts w:hint="eastAsia" w:eastAsia="宋体"/>
          <w:lang w:val="en-US" w:eastAsia="zh-CN"/>
        </w:rPr>
        <w:t>At</w:t>
      </w:r>
      <w:r>
        <w:rPr>
          <w:rFonts w:eastAsia="宋体"/>
          <w:lang w:val="en-US"/>
        </w:rPr>
        <w:t xml:space="preserve"> RAN#91-e, intermittent delay-tolerant small packet transmission</w:t>
      </w:r>
      <w:r>
        <w:rPr>
          <w:rFonts w:hint="eastAsia" w:eastAsia="宋体"/>
          <w:lang w:val="en-US" w:eastAsia="zh-CN"/>
        </w:rPr>
        <w:t xml:space="preserve"> was widely supported. </w:t>
      </w:r>
      <w:r>
        <w:rPr>
          <w:rFonts w:hint="eastAsia"/>
          <w:lang w:val="en-US" w:eastAsia="zh-CN"/>
        </w:rPr>
        <w:t>D</w:t>
      </w:r>
      <w:r>
        <w:rPr>
          <w:lang w:eastAsia="zh-CN"/>
        </w:rPr>
        <w:t>etailed performance requirements</w:t>
      </w:r>
      <w:r>
        <w:rPr>
          <w:rFonts w:hint="eastAsia"/>
          <w:lang w:val="en-US" w:eastAsia="zh-CN"/>
        </w:rPr>
        <w:t xml:space="preserve"> is significant in the intermittent delay-tolerant small packet transmission. </w:t>
      </w:r>
      <w:r>
        <w:rPr>
          <w:lang w:eastAsia="zh-CN"/>
        </w:rPr>
        <w:t xml:space="preserve">In TS 22.261 </w:t>
      </w:r>
      <w:r>
        <w:rPr>
          <w:lang w:eastAsia="zh-CN"/>
        </w:rPr>
        <w:fldChar w:fldCharType="begin"/>
      </w:r>
      <w:r>
        <w:rPr>
          <w:lang w:eastAsia="zh-CN"/>
        </w:rPr>
        <w:instrText xml:space="preserve"> REF _Ref68616885 \n \h </w:instrText>
      </w:r>
      <w:r>
        <w:rPr>
          <w:lang w:eastAsia="zh-CN"/>
        </w:rPr>
        <w:fldChar w:fldCharType="separate"/>
      </w:r>
      <w:r>
        <w:rPr>
          <w:lang w:eastAsia="zh-CN"/>
        </w:rPr>
        <w:t>[2]</w:t>
      </w:r>
      <w:r>
        <w:rPr>
          <w:lang w:eastAsia="zh-CN"/>
        </w:rPr>
        <w:fldChar w:fldCharType="end"/>
      </w:r>
      <w:r>
        <w:rPr>
          <w:lang w:eastAsia="zh-CN"/>
        </w:rPr>
        <w:t xml:space="preserve">, the performance requirements for satellite access are defined. </w:t>
      </w:r>
      <w:r>
        <w:rPr>
          <w:rFonts w:hint="eastAsia"/>
          <w:lang w:val="en-US" w:eastAsia="zh-CN"/>
        </w:rPr>
        <w:t>In [6], the UL and DL data rate for IoT NTN had listed in a Table. However, some of the application scenarios haven</w:t>
      </w:r>
      <w:r>
        <w:rPr>
          <w:rFonts w:hint="default"/>
          <w:lang w:val="en-US" w:eastAsia="zh-CN"/>
        </w:rPr>
        <w:t>’</w:t>
      </w:r>
      <w:r>
        <w:rPr>
          <w:rFonts w:hint="eastAsia"/>
          <w:lang w:val="en-US" w:eastAsia="zh-CN"/>
        </w:rPr>
        <w:t xml:space="preserve">t been concluded. </w:t>
      </w:r>
      <w:r>
        <w:rPr>
          <w:lang w:eastAsia="zh-CN"/>
        </w:rPr>
        <w:t xml:space="preserve"> </w:t>
      </w:r>
    </w:p>
    <w:p>
      <w:pPr>
        <w:rPr>
          <w:rFonts w:hint="default"/>
          <w:lang w:val="en-US" w:eastAsia="zh-CN"/>
        </w:rPr>
      </w:pPr>
      <w:r>
        <w:rPr>
          <w:rFonts w:hint="eastAsia"/>
          <w:lang w:eastAsia="zh-CN"/>
        </w:rPr>
        <w:t>With the continuous development of marine satellite communication, satellite remote sensing, underwater acoustic telemetry and sensors, marine monitoring has gradually entered the era of three-dimensional monitoring in space, land, sea and underwater. Among them, as a widely used passive monitoring carrier, marine buoy has the characteristics of small volume, easy deployment, all-weather, long-term continuous and fixed-point monitoring. It has been widely used in China's marine stations, marine engineering, marine investigation and other fields, and plays an irreplaceable role in other marine monitoring methods.</w:t>
      </w:r>
      <w:r>
        <w:rPr>
          <w:rFonts w:hint="eastAsia"/>
          <w:lang w:val="en-US" w:eastAsia="zh-CN"/>
        </w:rPr>
        <w:t xml:space="preserve"> In the Table 1, we added one use case - </w:t>
      </w:r>
      <w:r>
        <w:rPr>
          <w:rFonts w:hint="default"/>
          <w:lang w:val="en-US" w:eastAsia="zh-CN"/>
        </w:rPr>
        <w:t>”</w:t>
      </w:r>
      <w:r>
        <w:rPr>
          <w:rFonts w:hint="eastAsia"/>
          <w:lang w:val="en-US" w:eastAsia="zh-CN"/>
        </w:rPr>
        <w:t>ocean buoy</w:t>
      </w:r>
      <w:r>
        <w:rPr>
          <w:rFonts w:hint="default"/>
          <w:lang w:val="en-US" w:eastAsia="zh-CN"/>
        </w:rPr>
        <w:t>”</w:t>
      </w:r>
      <w:r>
        <w:rPr>
          <w:rFonts w:hint="eastAsia"/>
          <w:lang w:val="en-US" w:eastAsia="zh-CN"/>
        </w:rPr>
        <w:t xml:space="preserve">. </w:t>
      </w:r>
    </w:p>
    <w:p>
      <w:pPr>
        <w:rPr>
          <w:rFonts w:hint="eastAsia"/>
          <w:lang w:eastAsia="zh-CN"/>
        </w:rPr>
      </w:pPr>
    </w:p>
    <w:p>
      <w:pPr>
        <w:rPr>
          <w:rFonts w:hint="eastAsia"/>
          <w:lang w:val="en-US" w:eastAsia="zh-CN"/>
        </w:rPr>
      </w:pPr>
    </w:p>
    <w:p>
      <w:pPr>
        <w:rPr>
          <w:rFonts w:hint="default"/>
          <w:lang w:val="en-US" w:eastAsia="zh-CN"/>
        </w:rPr>
      </w:pPr>
      <w:r>
        <w:rPr>
          <w:rFonts w:hint="eastAsia"/>
          <w:b/>
          <w:i/>
          <w:lang w:eastAsia="zh-CN"/>
        </w:rPr>
        <w:t>P</w:t>
      </w:r>
      <w:r>
        <w:rPr>
          <w:b/>
          <w:i/>
          <w:lang w:eastAsia="zh-CN"/>
        </w:rPr>
        <w:t xml:space="preserve">roposal 1: </w:t>
      </w:r>
      <w:r>
        <w:rPr>
          <w:rFonts w:hint="eastAsia"/>
          <w:b w:val="0"/>
          <w:bCs/>
          <w:i/>
          <w:lang w:val="en-US" w:eastAsia="zh-CN"/>
        </w:rPr>
        <w:t xml:space="preserve">Some typical use cases and their performance requirements in IoT over NTN should to be enriched. </w:t>
      </w:r>
    </w:p>
    <w:p>
      <w:pPr>
        <w:widowControl/>
        <w:snapToGrid w:val="0"/>
        <w:jc w:val="center"/>
        <w:rPr>
          <w:lang w:val="en-US" w:eastAsia="zh-CN"/>
        </w:rPr>
      </w:pPr>
      <w:r>
        <w:rPr>
          <w:rFonts w:hint="eastAsia" w:eastAsia="宋体"/>
          <w:b/>
          <w:lang w:val="en-US" w:eastAsia="zh-CN"/>
        </w:rPr>
        <w:t>T</w:t>
      </w:r>
      <w:r>
        <w:rPr>
          <w:rFonts w:eastAsia="宋体"/>
          <w:b/>
          <w:lang w:val="en-US" w:eastAsia="zh-CN"/>
        </w:rPr>
        <w:t xml:space="preserve">able 1 </w:t>
      </w:r>
      <w:r>
        <w:rPr>
          <w:rFonts w:eastAsia="宋体"/>
          <w:lang w:val="en-US" w:eastAsia="zh-CN"/>
        </w:rPr>
        <w:t>Performance requirements for satellite access</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962"/>
        <w:gridCol w:w="962"/>
        <w:gridCol w:w="962"/>
        <w:gridCol w:w="845"/>
        <w:gridCol w:w="962"/>
        <w:gridCol w:w="842"/>
        <w:gridCol w:w="1082"/>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8" w:type="pct"/>
            <w:shd w:val="clear" w:color="auto" w:fill="auto"/>
            <w:tcMar>
              <w:left w:w="57" w:type="dxa"/>
              <w:right w:w="57" w:type="dxa"/>
            </w:tcMar>
          </w:tcPr>
          <w:p>
            <w:pPr>
              <w:keepNext/>
              <w:keepLines/>
              <w:widowControl/>
              <w:autoSpaceDE/>
              <w:autoSpaceDN/>
              <w:adjustRightInd/>
              <w:spacing w:after="0"/>
              <w:jc w:val="center"/>
              <w:rPr>
                <w:rFonts w:ascii="Arial" w:hAnsi="Arial" w:eastAsia="宋体"/>
                <w:b/>
                <w:sz w:val="16"/>
                <w:szCs w:val="20"/>
              </w:rPr>
            </w:pPr>
            <w:r>
              <w:rPr>
                <w:rFonts w:ascii="Arial" w:hAnsi="Arial" w:eastAsia="宋体"/>
                <w:b/>
                <w:sz w:val="16"/>
                <w:szCs w:val="20"/>
              </w:rPr>
              <w:t>Scenario</w:t>
            </w:r>
          </w:p>
        </w:tc>
        <w:tc>
          <w:tcPr>
            <w:tcW w:w="571" w:type="pct"/>
            <w:shd w:val="clear" w:color="auto" w:fill="auto"/>
            <w:tcMar>
              <w:left w:w="57" w:type="dxa"/>
              <w:right w:w="57" w:type="dxa"/>
            </w:tcMar>
          </w:tcPr>
          <w:p>
            <w:pPr>
              <w:keepNext/>
              <w:keepLines/>
              <w:widowControl/>
              <w:autoSpaceDE/>
              <w:autoSpaceDN/>
              <w:adjustRightInd/>
              <w:spacing w:after="0"/>
              <w:jc w:val="center"/>
              <w:rPr>
                <w:rFonts w:ascii="Arial" w:hAnsi="Arial" w:eastAsia="宋体"/>
                <w:b/>
                <w:sz w:val="16"/>
                <w:szCs w:val="20"/>
              </w:rPr>
            </w:pPr>
            <w:r>
              <w:rPr>
                <w:rFonts w:ascii="Arial" w:hAnsi="Arial" w:eastAsia="宋体"/>
                <w:b/>
                <w:sz w:val="16"/>
                <w:szCs w:val="20"/>
              </w:rPr>
              <w:t>Experienced data rate (DL)</w:t>
            </w:r>
          </w:p>
        </w:tc>
        <w:tc>
          <w:tcPr>
            <w:tcW w:w="571" w:type="pct"/>
            <w:shd w:val="clear" w:color="auto" w:fill="auto"/>
            <w:tcMar>
              <w:left w:w="57" w:type="dxa"/>
              <w:right w:w="57" w:type="dxa"/>
            </w:tcMar>
          </w:tcPr>
          <w:p>
            <w:pPr>
              <w:keepNext/>
              <w:keepLines/>
              <w:widowControl/>
              <w:autoSpaceDE/>
              <w:autoSpaceDN/>
              <w:adjustRightInd/>
              <w:spacing w:after="0"/>
              <w:jc w:val="center"/>
              <w:rPr>
                <w:rFonts w:ascii="Arial" w:hAnsi="Arial" w:eastAsia="宋体"/>
                <w:b/>
                <w:sz w:val="16"/>
                <w:szCs w:val="20"/>
              </w:rPr>
            </w:pPr>
            <w:r>
              <w:rPr>
                <w:rFonts w:ascii="Arial" w:hAnsi="Arial" w:eastAsia="宋体"/>
                <w:b/>
                <w:sz w:val="16"/>
                <w:szCs w:val="20"/>
              </w:rPr>
              <w:t>Experienced data rate (UL)</w:t>
            </w:r>
          </w:p>
        </w:tc>
        <w:tc>
          <w:tcPr>
            <w:tcW w:w="571" w:type="pct"/>
            <w:shd w:val="clear" w:color="auto" w:fill="auto"/>
            <w:tcMar>
              <w:left w:w="57" w:type="dxa"/>
              <w:right w:w="57" w:type="dxa"/>
            </w:tcMar>
          </w:tcPr>
          <w:p>
            <w:pPr>
              <w:keepNext/>
              <w:keepLines/>
              <w:widowControl/>
              <w:autoSpaceDE/>
              <w:autoSpaceDN/>
              <w:adjustRightInd/>
              <w:spacing w:after="0"/>
              <w:jc w:val="center"/>
              <w:rPr>
                <w:rFonts w:ascii="Arial" w:hAnsi="Arial" w:eastAsia="宋体"/>
                <w:b/>
                <w:sz w:val="16"/>
                <w:szCs w:val="20"/>
              </w:rPr>
            </w:pPr>
            <w:r>
              <w:rPr>
                <w:rFonts w:ascii="Arial" w:hAnsi="Arial" w:eastAsia="宋体"/>
                <w:b/>
                <w:sz w:val="16"/>
                <w:szCs w:val="20"/>
              </w:rPr>
              <w:t>Area traffic capacity</w:t>
            </w:r>
          </w:p>
          <w:p>
            <w:pPr>
              <w:keepNext/>
              <w:keepLines/>
              <w:widowControl/>
              <w:autoSpaceDE/>
              <w:autoSpaceDN/>
              <w:adjustRightInd/>
              <w:spacing w:after="0"/>
              <w:jc w:val="center"/>
              <w:rPr>
                <w:rFonts w:ascii="Arial" w:hAnsi="Arial" w:eastAsia="宋体"/>
                <w:b/>
                <w:sz w:val="16"/>
                <w:szCs w:val="20"/>
              </w:rPr>
            </w:pPr>
            <w:r>
              <w:rPr>
                <w:rFonts w:ascii="Arial" w:hAnsi="Arial" w:eastAsia="宋体"/>
                <w:b/>
                <w:sz w:val="16"/>
                <w:szCs w:val="20"/>
              </w:rPr>
              <w:t xml:space="preserve">(DL) </w:t>
            </w:r>
          </w:p>
          <w:p>
            <w:pPr>
              <w:keepNext/>
              <w:keepLines/>
              <w:widowControl/>
              <w:autoSpaceDE/>
              <w:autoSpaceDN/>
              <w:adjustRightInd/>
              <w:spacing w:after="0"/>
              <w:jc w:val="center"/>
              <w:rPr>
                <w:rFonts w:ascii="Arial" w:hAnsi="Arial" w:eastAsia="宋体"/>
                <w:b/>
                <w:sz w:val="16"/>
                <w:szCs w:val="20"/>
              </w:rPr>
            </w:pPr>
            <w:r>
              <w:rPr>
                <w:rFonts w:ascii="Arial" w:hAnsi="Arial" w:eastAsia="宋体"/>
                <w:b/>
                <w:sz w:val="16"/>
                <w:szCs w:val="20"/>
              </w:rPr>
              <w:t>(note 1)</w:t>
            </w:r>
          </w:p>
        </w:tc>
        <w:tc>
          <w:tcPr>
            <w:tcW w:w="501" w:type="pct"/>
            <w:tcMar>
              <w:left w:w="57" w:type="dxa"/>
              <w:right w:w="57" w:type="dxa"/>
            </w:tcMar>
          </w:tcPr>
          <w:p>
            <w:pPr>
              <w:keepNext/>
              <w:keepLines/>
              <w:widowControl/>
              <w:autoSpaceDE/>
              <w:autoSpaceDN/>
              <w:adjustRightInd/>
              <w:spacing w:after="0"/>
              <w:jc w:val="center"/>
              <w:rPr>
                <w:rFonts w:ascii="Arial" w:hAnsi="Arial" w:eastAsia="宋体"/>
                <w:b/>
                <w:sz w:val="16"/>
                <w:szCs w:val="20"/>
              </w:rPr>
            </w:pPr>
            <w:r>
              <w:rPr>
                <w:rFonts w:ascii="Arial" w:hAnsi="Arial" w:eastAsia="宋体"/>
                <w:b/>
                <w:sz w:val="16"/>
                <w:szCs w:val="20"/>
              </w:rPr>
              <w:t>Area traffic capacity</w:t>
            </w:r>
          </w:p>
          <w:p>
            <w:pPr>
              <w:keepNext/>
              <w:keepLines/>
              <w:widowControl/>
              <w:autoSpaceDE/>
              <w:autoSpaceDN/>
              <w:adjustRightInd/>
              <w:spacing w:after="0"/>
              <w:jc w:val="center"/>
              <w:rPr>
                <w:rFonts w:ascii="Arial" w:hAnsi="Arial" w:eastAsia="宋体"/>
                <w:b/>
                <w:sz w:val="16"/>
                <w:szCs w:val="20"/>
              </w:rPr>
            </w:pPr>
            <w:r>
              <w:rPr>
                <w:rFonts w:ascii="Arial" w:hAnsi="Arial" w:eastAsia="宋体"/>
                <w:b/>
                <w:sz w:val="16"/>
                <w:szCs w:val="20"/>
              </w:rPr>
              <w:t xml:space="preserve">(UL) </w:t>
            </w:r>
          </w:p>
          <w:p>
            <w:pPr>
              <w:keepNext/>
              <w:keepLines/>
              <w:widowControl/>
              <w:autoSpaceDE/>
              <w:autoSpaceDN/>
              <w:adjustRightInd/>
              <w:spacing w:after="0"/>
              <w:jc w:val="center"/>
              <w:rPr>
                <w:rFonts w:ascii="Arial" w:hAnsi="Arial" w:eastAsia="宋体"/>
                <w:b/>
                <w:sz w:val="16"/>
                <w:szCs w:val="20"/>
              </w:rPr>
            </w:pPr>
            <w:r>
              <w:rPr>
                <w:rFonts w:ascii="Arial" w:hAnsi="Arial" w:eastAsia="宋体"/>
                <w:b/>
                <w:sz w:val="16"/>
                <w:szCs w:val="20"/>
              </w:rPr>
              <w:t>(note 1)</w:t>
            </w:r>
          </w:p>
        </w:tc>
        <w:tc>
          <w:tcPr>
            <w:tcW w:w="571" w:type="pct"/>
            <w:shd w:val="clear" w:color="auto" w:fill="auto"/>
            <w:tcMar>
              <w:left w:w="57" w:type="dxa"/>
              <w:right w:w="57" w:type="dxa"/>
            </w:tcMar>
          </w:tcPr>
          <w:p>
            <w:pPr>
              <w:keepNext/>
              <w:keepLines/>
              <w:widowControl/>
              <w:autoSpaceDE/>
              <w:autoSpaceDN/>
              <w:adjustRightInd/>
              <w:spacing w:after="0"/>
              <w:jc w:val="center"/>
              <w:rPr>
                <w:rFonts w:ascii="Arial" w:hAnsi="Arial" w:eastAsia="宋体"/>
                <w:b/>
                <w:sz w:val="16"/>
                <w:szCs w:val="20"/>
              </w:rPr>
            </w:pPr>
            <w:r>
              <w:rPr>
                <w:rFonts w:ascii="Arial" w:hAnsi="Arial" w:eastAsia="宋体"/>
                <w:b/>
                <w:sz w:val="16"/>
                <w:szCs w:val="20"/>
              </w:rPr>
              <w:t xml:space="preserve">Overall user density </w:t>
            </w:r>
          </w:p>
        </w:tc>
        <w:tc>
          <w:tcPr>
            <w:tcW w:w="499" w:type="pct"/>
            <w:tcMar>
              <w:left w:w="57" w:type="dxa"/>
              <w:right w:w="57" w:type="dxa"/>
            </w:tcMar>
          </w:tcPr>
          <w:p>
            <w:pPr>
              <w:keepNext/>
              <w:keepLines/>
              <w:widowControl/>
              <w:autoSpaceDE/>
              <w:autoSpaceDN/>
              <w:adjustRightInd/>
              <w:spacing w:after="0"/>
              <w:jc w:val="center"/>
              <w:rPr>
                <w:rFonts w:ascii="Arial" w:hAnsi="Arial" w:eastAsia="宋体"/>
                <w:b/>
                <w:sz w:val="16"/>
                <w:szCs w:val="20"/>
              </w:rPr>
            </w:pPr>
            <w:r>
              <w:rPr>
                <w:rFonts w:ascii="Arial" w:hAnsi="Arial" w:eastAsia="宋体"/>
                <w:b/>
                <w:sz w:val="16"/>
                <w:szCs w:val="20"/>
              </w:rPr>
              <w:t>Activity factor</w:t>
            </w:r>
          </w:p>
        </w:tc>
        <w:tc>
          <w:tcPr>
            <w:tcW w:w="642" w:type="pct"/>
            <w:shd w:val="clear" w:color="auto" w:fill="auto"/>
            <w:tcMar>
              <w:left w:w="57" w:type="dxa"/>
              <w:right w:w="57" w:type="dxa"/>
            </w:tcMar>
          </w:tcPr>
          <w:p>
            <w:pPr>
              <w:keepNext/>
              <w:keepLines/>
              <w:widowControl/>
              <w:autoSpaceDE/>
              <w:autoSpaceDN/>
              <w:adjustRightInd/>
              <w:spacing w:after="0"/>
              <w:jc w:val="center"/>
              <w:rPr>
                <w:rFonts w:ascii="Arial" w:hAnsi="Arial" w:eastAsia="宋体"/>
                <w:b/>
                <w:sz w:val="16"/>
                <w:szCs w:val="20"/>
              </w:rPr>
            </w:pPr>
            <w:r>
              <w:rPr>
                <w:rFonts w:ascii="Arial" w:hAnsi="Arial" w:eastAsia="宋体"/>
                <w:b/>
                <w:sz w:val="16"/>
                <w:szCs w:val="20"/>
              </w:rPr>
              <w:t>UE speed</w:t>
            </w:r>
          </w:p>
        </w:tc>
        <w:tc>
          <w:tcPr>
            <w:tcW w:w="502" w:type="pct"/>
            <w:shd w:val="clear" w:color="auto" w:fill="auto"/>
            <w:tcMar>
              <w:left w:w="57" w:type="dxa"/>
              <w:right w:w="57" w:type="dxa"/>
            </w:tcMar>
          </w:tcPr>
          <w:p>
            <w:pPr>
              <w:keepNext/>
              <w:keepLines/>
              <w:widowControl/>
              <w:autoSpaceDE/>
              <w:autoSpaceDN/>
              <w:adjustRightInd/>
              <w:spacing w:after="0"/>
              <w:jc w:val="center"/>
              <w:rPr>
                <w:rFonts w:ascii="Arial" w:hAnsi="Arial" w:eastAsia="宋体"/>
                <w:b/>
                <w:sz w:val="16"/>
                <w:szCs w:val="20"/>
              </w:rPr>
            </w:pPr>
            <w:r>
              <w:rPr>
                <w:rFonts w:ascii="Arial" w:hAnsi="Arial" w:eastAsia="宋体"/>
                <w:b/>
                <w:sz w:val="16"/>
                <w:szCs w:val="20"/>
              </w:rPr>
              <w:t>UE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6"/>
                <w:szCs w:val="20"/>
              </w:rPr>
            </w:pPr>
            <w:r>
              <w:rPr>
                <w:rFonts w:ascii="Arial" w:hAnsi="Arial" w:eastAsia="宋体"/>
                <w:sz w:val="16"/>
                <w:szCs w:val="20"/>
              </w:rPr>
              <w:t>Pedestrian</w:t>
            </w:r>
          </w:p>
          <w:p>
            <w:pPr>
              <w:keepNext/>
              <w:keepLines/>
              <w:widowControl/>
              <w:autoSpaceDE/>
              <w:autoSpaceDN/>
              <w:adjustRightInd/>
              <w:spacing w:after="0"/>
              <w:jc w:val="center"/>
              <w:rPr>
                <w:rFonts w:ascii="Arial" w:hAnsi="Arial" w:eastAsia="宋体"/>
                <w:sz w:val="16"/>
                <w:szCs w:val="20"/>
              </w:rPr>
            </w:pPr>
            <w:r>
              <w:rPr>
                <w:rFonts w:ascii="Arial" w:hAnsi="Arial" w:eastAsia="宋体"/>
                <w:sz w:val="16"/>
                <w:szCs w:val="20"/>
              </w:rPr>
              <w:t>(note 2)</w:t>
            </w:r>
          </w:p>
        </w:tc>
        <w:tc>
          <w:tcPr>
            <w:tcW w:w="571"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[1] Mbit/s</w:t>
            </w:r>
          </w:p>
        </w:tc>
        <w:tc>
          <w:tcPr>
            <w:tcW w:w="571"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[100] kbit/s</w:t>
            </w:r>
          </w:p>
        </w:tc>
        <w:tc>
          <w:tcPr>
            <w:tcW w:w="571"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vertAlign w:val="superscript"/>
              </w:rPr>
            </w:pPr>
            <w:r>
              <w:rPr>
                <w:rFonts w:ascii="Arial" w:hAnsi="Arial" w:eastAsia="宋体"/>
                <w:sz w:val="18"/>
                <w:szCs w:val="20"/>
              </w:rPr>
              <w:t>1,5 Mbit/s/km</w:t>
            </w:r>
            <w:r>
              <w:rPr>
                <w:rFonts w:ascii="Arial" w:hAnsi="Arial" w:eastAsia="宋体"/>
                <w:sz w:val="18"/>
                <w:szCs w:val="20"/>
                <w:vertAlign w:val="superscript"/>
              </w:rPr>
              <w:t>2</w:t>
            </w:r>
          </w:p>
        </w:tc>
        <w:tc>
          <w:tcPr>
            <w:tcW w:w="501" w:type="pct"/>
            <w:tcMar>
              <w:left w:w="57" w:type="dxa"/>
              <w:right w:w="57" w:type="dxa"/>
            </w:tcMar>
          </w:tcPr>
          <w:p>
            <w:pPr>
              <w:keepNext/>
              <w:keepLines/>
              <w:widowControl/>
              <w:autoSpaceDE/>
              <w:autoSpaceDN/>
              <w:adjustRightInd/>
              <w:spacing w:after="0"/>
              <w:jc w:val="center"/>
              <w:rPr>
                <w:rFonts w:ascii="Arial" w:hAnsi="Arial" w:eastAsia="宋体"/>
                <w:sz w:val="18"/>
                <w:szCs w:val="20"/>
                <w:vertAlign w:val="superscript"/>
              </w:rPr>
            </w:pPr>
            <w:r>
              <w:rPr>
                <w:rFonts w:ascii="Arial" w:hAnsi="Arial" w:eastAsia="宋体"/>
                <w:sz w:val="18"/>
                <w:szCs w:val="20"/>
              </w:rPr>
              <w:t>150 kbit/s/km</w:t>
            </w:r>
            <w:r>
              <w:rPr>
                <w:rFonts w:ascii="Arial" w:hAnsi="Arial" w:eastAsia="宋体"/>
                <w:sz w:val="18"/>
                <w:szCs w:val="20"/>
                <w:vertAlign w:val="superscript"/>
              </w:rPr>
              <w:t>2</w:t>
            </w:r>
          </w:p>
        </w:tc>
        <w:tc>
          <w:tcPr>
            <w:tcW w:w="571"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[100]/km</w:t>
            </w:r>
            <w:r>
              <w:rPr>
                <w:rFonts w:ascii="Arial" w:hAnsi="Arial" w:eastAsia="宋体"/>
                <w:sz w:val="18"/>
                <w:szCs w:val="20"/>
                <w:vertAlign w:val="superscript"/>
              </w:rPr>
              <w:t>2</w:t>
            </w:r>
          </w:p>
        </w:tc>
        <w:tc>
          <w:tcPr>
            <w:tcW w:w="499" w:type="pct"/>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[1,5] %</w:t>
            </w:r>
          </w:p>
        </w:tc>
        <w:tc>
          <w:tcPr>
            <w:tcW w:w="642"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Pedestrian</w:t>
            </w:r>
          </w:p>
        </w:tc>
        <w:tc>
          <w:tcPr>
            <w:tcW w:w="502"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Handheld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6"/>
                <w:szCs w:val="20"/>
              </w:rPr>
            </w:pPr>
            <w:r>
              <w:rPr>
                <w:rFonts w:ascii="Arial" w:hAnsi="Arial" w:eastAsia="宋体"/>
                <w:sz w:val="16"/>
                <w:szCs w:val="20"/>
              </w:rPr>
              <w:t>Public safety</w:t>
            </w:r>
          </w:p>
        </w:tc>
        <w:tc>
          <w:tcPr>
            <w:tcW w:w="571"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[3,5] Mbit/ss</w:t>
            </w:r>
          </w:p>
        </w:tc>
        <w:tc>
          <w:tcPr>
            <w:tcW w:w="571"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[3,5] Mbit/s</w:t>
            </w:r>
          </w:p>
        </w:tc>
        <w:tc>
          <w:tcPr>
            <w:tcW w:w="571"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TBD</w:t>
            </w:r>
          </w:p>
        </w:tc>
        <w:tc>
          <w:tcPr>
            <w:tcW w:w="501" w:type="pct"/>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TBD</w:t>
            </w:r>
          </w:p>
        </w:tc>
        <w:tc>
          <w:tcPr>
            <w:tcW w:w="571"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TBD</w:t>
            </w:r>
          </w:p>
        </w:tc>
        <w:tc>
          <w:tcPr>
            <w:tcW w:w="499" w:type="pct"/>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N/A</w:t>
            </w:r>
          </w:p>
        </w:tc>
        <w:tc>
          <w:tcPr>
            <w:tcW w:w="642"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100 km/h</w:t>
            </w:r>
          </w:p>
        </w:tc>
        <w:tc>
          <w:tcPr>
            <w:tcW w:w="502"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Handheld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6"/>
                <w:szCs w:val="20"/>
              </w:rPr>
            </w:pPr>
            <w:r>
              <w:rPr>
                <w:rFonts w:ascii="Arial" w:hAnsi="Arial" w:eastAsia="宋体"/>
                <w:sz w:val="16"/>
                <w:szCs w:val="20"/>
              </w:rPr>
              <w:t>Vehicular connectivity</w:t>
            </w:r>
          </w:p>
          <w:p>
            <w:pPr>
              <w:keepNext/>
              <w:keepLines/>
              <w:widowControl/>
              <w:autoSpaceDE/>
              <w:autoSpaceDN/>
              <w:adjustRightInd/>
              <w:spacing w:after="0"/>
              <w:jc w:val="center"/>
              <w:rPr>
                <w:rFonts w:ascii="Arial" w:hAnsi="Arial" w:eastAsia="宋体"/>
                <w:sz w:val="16"/>
                <w:szCs w:val="20"/>
              </w:rPr>
            </w:pPr>
            <w:r>
              <w:rPr>
                <w:rFonts w:ascii="Arial" w:hAnsi="Arial" w:eastAsia="宋体"/>
                <w:sz w:val="16"/>
                <w:szCs w:val="20"/>
              </w:rPr>
              <w:t>(note 3)</w:t>
            </w:r>
          </w:p>
        </w:tc>
        <w:tc>
          <w:tcPr>
            <w:tcW w:w="571"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50 Mbit/s</w:t>
            </w:r>
          </w:p>
        </w:tc>
        <w:tc>
          <w:tcPr>
            <w:tcW w:w="571"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25 Mbit/s</w:t>
            </w:r>
          </w:p>
        </w:tc>
        <w:tc>
          <w:tcPr>
            <w:tcW w:w="571"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TBD</w:t>
            </w:r>
          </w:p>
        </w:tc>
        <w:tc>
          <w:tcPr>
            <w:tcW w:w="501" w:type="pct"/>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TBD</w:t>
            </w:r>
          </w:p>
        </w:tc>
        <w:tc>
          <w:tcPr>
            <w:tcW w:w="571"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TBD</w:t>
            </w:r>
          </w:p>
          <w:p>
            <w:pPr>
              <w:keepNext/>
              <w:keepLines/>
              <w:widowControl/>
              <w:autoSpaceDE/>
              <w:autoSpaceDN/>
              <w:adjustRightInd/>
              <w:spacing w:after="0"/>
              <w:jc w:val="left"/>
              <w:rPr>
                <w:rFonts w:ascii="Arial" w:hAnsi="Arial" w:eastAsia="宋体"/>
                <w:sz w:val="18"/>
                <w:szCs w:val="20"/>
              </w:rPr>
            </w:pPr>
          </w:p>
        </w:tc>
        <w:tc>
          <w:tcPr>
            <w:tcW w:w="499" w:type="pct"/>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50 %</w:t>
            </w:r>
          </w:p>
        </w:tc>
        <w:tc>
          <w:tcPr>
            <w:tcW w:w="642"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Up to 250 km/h</w:t>
            </w:r>
          </w:p>
        </w:tc>
        <w:tc>
          <w:tcPr>
            <w:tcW w:w="502"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Vehicle mounted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6"/>
                <w:szCs w:val="20"/>
              </w:rPr>
            </w:pPr>
            <w:r>
              <w:rPr>
                <w:rFonts w:ascii="Arial" w:hAnsi="Arial" w:eastAsia="宋体"/>
                <w:sz w:val="16"/>
                <w:szCs w:val="20"/>
              </w:rPr>
              <w:t>Airplanes connectivity</w:t>
            </w:r>
          </w:p>
          <w:p>
            <w:pPr>
              <w:keepNext/>
              <w:keepLines/>
              <w:widowControl/>
              <w:autoSpaceDE/>
              <w:autoSpaceDN/>
              <w:adjustRightInd/>
              <w:spacing w:after="0"/>
              <w:jc w:val="center"/>
              <w:rPr>
                <w:rFonts w:ascii="Arial" w:hAnsi="Arial" w:eastAsia="宋体"/>
                <w:sz w:val="16"/>
                <w:szCs w:val="20"/>
              </w:rPr>
            </w:pPr>
            <w:r>
              <w:rPr>
                <w:rFonts w:ascii="Arial" w:hAnsi="Arial" w:eastAsia="宋体"/>
                <w:sz w:val="16"/>
                <w:szCs w:val="20"/>
              </w:rPr>
              <w:t>(note 4)</w:t>
            </w:r>
          </w:p>
        </w:tc>
        <w:tc>
          <w:tcPr>
            <w:tcW w:w="571"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360 Mbit/s/ plane</w:t>
            </w:r>
          </w:p>
        </w:tc>
        <w:tc>
          <w:tcPr>
            <w:tcW w:w="571"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180 Mbit/s/ plane</w:t>
            </w:r>
          </w:p>
        </w:tc>
        <w:tc>
          <w:tcPr>
            <w:tcW w:w="571"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TBD</w:t>
            </w:r>
          </w:p>
        </w:tc>
        <w:tc>
          <w:tcPr>
            <w:tcW w:w="501" w:type="pct"/>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TBD</w:t>
            </w:r>
          </w:p>
        </w:tc>
        <w:tc>
          <w:tcPr>
            <w:tcW w:w="571"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TBD</w:t>
            </w:r>
          </w:p>
        </w:tc>
        <w:tc>
          <w:tcPr>
            <w:tcW w:w="499" w:type="pct"/>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N/A</w:t>
            </w:r>
          </w:p>
        </w:tc>
        <w:tc>
          <w:tcPr>
            <w:tcW w:w="642"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Up to 1000 km/h</w:t>
            </w:r>
          </w:p>
        </w:tc>
        <w:tc>
          <w:tcPr>
            <w:tcW w:w="502"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Airplane mounted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6"/>
                <w:szCs w:val="20"/>
              </w:rPr>
            </w:pPr>
            <w:r>
              <w:rPr>
                <w:rFonts w:ascii="Arial" w:hAnsi="Arial" w:eastAsia="宋体"/>
                <w:sz w:val="16"/>
                <w:szCs w:val="20"/>
              </w:rPr>
              <w:t>Stationary</w:t>
            </w:r>
          </w:p>
          <w:p>
            <w:pPr>
              <w:keepNext/>
              <w:keepLines/>
              <w:widowControl/>
              <w:autoSpaceDE/>
              <w:autoSpaceDN/>
              <w:adjustRightInd/>
              <w:spacing w:after="0"/>
              <w:jc w:val="center"/>
              <w:rPr>
                <w:rFonts w:ascii="Arial" w:hAnsi="Arial" w:eastAsia="宋体"/>
                <w:sz w:val="16"/>
                <w:szCs w:val="20"/>
              </w:rPr>
            </w:pPr>
          </w:p>
        </w:tc>
        <w:tc>
          <w:tcPr>
            <w:tcW w:w="571"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50 Mbit/s</w:t>
            </w:r>
          </w:p>
        </w:tc>
        <w:tc>
          <w:tcPr>
            <w:tcW w:w="571"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25 Mbit/s</w:t>
            </w:r>
          </w:p>
        </w:tc>
        <w:tc>
          <w:tcPr>
            <w:tcW w:w="571"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TBD</w:t>
            </w:r>
          </w:p>
        </w:tc>
        <w:tc>
          <w:tcPr>
            <w:tcW w:w="501" w:type="pct"/>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TBD</w:t>
            </w:r>
          </w:p>
        </w:tc>
        <w:tc>
          <w:tcPr>
            <w:tcW w:w="571"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TBD</w:t>
            </w:r>
          </w:p>
        </w:tc>
        <w:tc>
          <w:tcPr>
            <w:tcW w:w="499" w:type="pct"/>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N/A</w:t>
            </w:r>
          </w:p>
        </w:tc>
        <w:tc>
          <w:tcPr>
            <w:tcW w:w="642"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Stationary</w:t>
            </w:r>
          </w:p>
        </w:tc>
        <w:tc>
          <w:tcPr>
            <w:tcW w:w="502"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Building mounted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8"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6"/>
                <w:szCs w:val="20"/>
              </w:rPr>
            </w:pPr>
            <w:r>
              <w:rPr>
                <w:rFonts w:ascii="Arial" w:hAnsi="Arial" w:eastAsia="宋体"/>
                <w:sz w:val="16"/>
                <w:szCs w:val="20"/>
              </w:rPr>
              <w:t>Narrowband IoT connectivity</w:t>
            </w:r>
          </w:p>
        </w:tc>
        <w:tc>
          <w:tcPr>
            <w:tcW w:w="571"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[2] kbit/s</w:t>
            </w:r>
          </w:p>
        </w:tc>
        <w:tc>
          <w:tcPr>
            <w:tcW w:w="571"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[10] kbit/s</w:t>
            </w:r>
          </w:p>
        </w:tc>
        <w:tc>
          <w:tcPr>
            <w:tcW w:w="571"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8 kbit/s/km</w:t>
            </w:r>
            <w:r>
              <w:rPr>
                <w:rFonts w:ascii="Arial" w:hAnsi="Arial" w:eastAsia="宋体"/>
                <w:sz w:val="18"/>
                <w:szCs w:val="20"/>
                <w:vertAlign w:val="superscript"/>
              </w:rPr>
              <w:t>2</w:t>
            </w:r>
          </w:p>
        </w:tc>
        <w:tc>
          <w:tcPr>
            <w:tcW w:w="501" w:type="pct"/>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40 kbit/s/km</w:t>
            </w:r>
            <w:r>
              <w:rPr>
                <w:rFonts w:ascii="Arial" w:hAnsi="Arial" w:eastAsia="宋体"/>
                <w:sz w:val="18"/>
                <w:szCs w:val="20"/>
                <w:vertAlign w:val="superscript"/>
              </w:rPr>
              <w:t>2</w:t>
            </w:r>
          </w:p>
        </w:tc>
        <w:tc>
          <w:tcPr>
            <w:tcW w:w="571"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[400]/km2</w:t>
            </w:r>
          </w:p>
        </w:tc>
        <w:tc>
          <w:tcPr>
            <w:tcW w:w="499" w:type="pct"/>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[1] %</w:t>
            </w:r>
          </w:p>
        </w:tc>
        <w:tc>
          <w:tcPr>
            <w:tcW w:w="642"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[Up to 100 km/h]</w:t>
            </w:r>
          </w:p>
        </w:tc>
        <w:tc>
          <w:tcPr>
            <w:tcW w:w="502"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8" w:type="pct"/>
            <w:shd w:val="clear" w:color="auto" w:fill="auto"/>
            <w:tcMar>
              <w:left w:w="57" w:type="dxa"/>
              <w:right w:w="57" w:type="dxa"/>
            </w:tcMar>
          </w:tcPr>
          <w:p>
            <w:pPr>
              <w:keepNext/>
              <w:keepLines/>
              <w:widowControl/>
              <w:autoSpaceDE/>
              <w:autoSpaceDN/>
              <w:adjustRightInd/>
              <w:spacing w:after="0"/>
              <w:jc w:val="center"/>
              <w:rPr>
                <w:rFonts w:hint="default" w:ascii="Arial" w:hAnsi="Arial" w:eastAsia="宋体"/>
                <w:sz w:val="16"/>
                <w:szCs w:val="20"/>
                <w:lang w:val="en-US" w:eastAsia="zh-CN"/>
              </w:rPr>
            </w:pPr>
            <w:r>
              <w:rPr>
                <w:rFonts w:hint="eastAsia" w:ascii="Arial" w:hAnsi="Arial" w:eastAsia="宋体"/>
                <w:sz w:val="16"/>
                <w:szCs w:val="20"/>
                <w:lang w:val="en-US" w:eastAsia="zh-CN"/>
              </w:rPr>
              <w:t>Ocean buoy</w:t>
            </w:r>
          </w:p>
        </w:tc>
        <w:tc>
          <w:tcPr>
            <w:tcW w:w="571" w:type="pct"/>
            <w:shd w:val="clear" w:color="auto" w:fill="auto"/>
            <w:tcMar>
              <w:left w:w="57" w:type="dxa"/>
              <w:right w:w="57" w:type="dxa"/>
            </w:tcMar>
          </w:tcPr>
          <w:p>
            <w:pPr>
              <w:keepNext/>
              <w:keepLines/>
              <w:widowControl/>
              <w:autoSpaceDE/>
              <w:autoSpaceDN/>
              <w:adjustRightInd/>
              <w:spacing w:after="0"/>
              <w:jc w:val="center"/>
              <w:rPr>
                <w:rFonts w:hint="default" w:ascii="Arial" w:hAnsi="Arial" w:eastAsia="宋体"/>
                <w:sz w:val="18"/>
                <w:szCs w:val="20"/>
                <w:lang w:val="en-US" w:eastAsia="zh-CN"/>
              </w:rPr>
            </w:pPr>
            <w:r>
              <w:rPr>
                <w:rFonts w:hint="eastAsia" w:ascii="Arial" w:hAnsi="Arial" w:eastAsia="宋体"/>
                <w:sz w:val="18"/>
                <w:szCs w:val="20"/>
                <w:lang w:val="en-US" w:eastAsia="zh-CN"/>
              </w:rPr>
              <w:t>≤16kbit/s</w:t>
            </w:r>
          </w:p>
        </w:tc>
        <w:tc>
          <w:tcPr>
            <w:tcW w:w="571" w:type="pct"/>
            <w:shd w:val="clear" w:color="auto" w:fill="auto"/>
            <w:tcMar>
              <w:left w:w="57" w:type="dxa"/>
              <w:right w:w="57" w:type="dxa"/>
            </w:tcMar>
          </w:tcPr>
          <w:p>
            <w:pPr>
              <w:keepNext/>
              <w:keepLines/>
              <w:widowControl/>
              <w:autoSpaceDE/>
              <w:autoSpaceDN/>
              <w:adjustRightInd/>
              <w:spacing w:after="0"/>
              <w:jc w:val="center"/>
              <w:rPr>
                <w:rFonts w:hint="default" w:ascii="Arial" w:hAnsi="Arial" w:eastAsia="宋体"/>
                <w:sz w:val="18"/>
                <w:szCs w:val="20"/>
                <w:lang w:val="en-US" w:eastAsia="zh-CN"/>
              </w:rPr>
            </w:pPr>
            <w:r>
              <w:rPr>
                <w:rFonts w:hint="eastAsia" w:ascii="Arial" w:hAnsi="Arial" w:eastAsia="宋体"/>
                <w:sz w:val="18"/>
                <w:szCs w:val="20"/>
                <w:lang w:val="en-US" w:eastAsia="zh-CN"/>
              </w:rPr>
              <w:t>32kbit/s</w:t>
            </w:r>
          </w:p>
        </w:tc>
        <w:tc>
          <w:tcPr>
            <w:tcW w:w="571" w:type="pct"/>
            <w:shd w:val="clear" w:color="auto" w:fill="auto"/>
            <w:tcMar>
              <w:left w:w="57" w:type="dxa"/>
              <w:right w:w="57" w:type="dxa"/>
            </w:tcMar>
            <w:vAlign w:val="top"/>
          </w:tcPr>
          <w:p>
            <w:pPr>
              <w:keepNext/>
              <w:keepLines/>
              <w:widowControl/>
              <w:autoSpaceDE/>
              <w:autoSpaceDN/>
              <w:adjustRightInd/>
              <w:spacing w:after="0"/>
              <w:jc w:val="center"/>
              <w:rPr>
                <w:rFonts w:ascii="Arial" w:hAnsi="Arial" w:eastAsia="宋体" w:cs="Times New Roman"/>
                <w:sz w:val="18"/>
                <w:szCs w:val="20"/>
                <w:lang w:val="en-GB" w:eastAsia="en-US" w:bidi="ar-SA"/>
              </w:rPr>
            </w:pPr>
            <w:r>
              <w:rPr>
                <w:rFonts w:ascii="Arial" w:hAnsi="Arial" w:eastAsia="宋体"/>
                <w:sz w:val="18"/>
                <w:szCs w:val="20"/>
              </w:rPr>
              <w:t>TBD</w:t>
            </w:r>
          </w:p>
        </w:tc>
        <w:tc>
          <w:tcPr>
            <w:tcW w:w="501" w:type="pct"/>
            <w:tcMar>
              <w:left w:w="57" w:type="dxa"/>
              <w:right w:w="57" w:type="dxa"/>
            </w:tcMar>
            <w:vAlign w:val="top"/>
          </w:tcPr>
          <w:p>
            <w:pPr>
              <w:keepNext/>
              <w:keepLines/>
              <w:widowControl/>
              <w:autoSpaceDE/>
              <w:autoSpaceDN/>
              <w:adjustRightInd/>
              <w:spacing w:after="0"/>
              <w:jc w:val="center"/>
              <w:rPr>
                <w:rFonts w:ascii="Arial" w:hAnsi="Arial" w:eastAsia="宋体" w:cs="Times New Roman"/>
                <w:sz w:val="18"/>
                <w:szCs w:val="20"/>
                <w:lang w:val="en-GB" w:eastAsia="en-US" w:bidi="ar-SA"/>
              </w:rPr>
            </w:pPr>
            <w:r>
              <w:rPr>
                <w:rFonts w:ascii="Arial" w:hAnsi="Arial" w:eastAsia="宋体"/>
                <w:sz w:val="18"/>
                <w:szCs w:val="20"/>
              </w:rPr>
              <w:t>TBD</w:t>
            </w:r>
          </w:p>
        </w:tc>
        <w:tc>
          <w:tcPr>
            <w:tcW w:w="571" w:type="pct"/>
            <w:shd w:val="clear" w:color="auto" w:fill="auto"/>
            <w:tcMar>
              <w:left w:w="57" w:type="dxa"/>
              <w:right w:w="57" w:type="dxa"/>
            </w:tcMar>
            <w:vAlign w:val="top"/>
          </w:tcPr>
          <w:p>
            <w:pPr>
              <w:keepNext/>
              <w:keepLines/>
              <w:widowControl/>
              <w:autoSpaceDE/>
              <w:autoSpaceDN/>
              <w:adjustRightInd/>
              <w:spacing w:after="0"/>
              <w:jc w:val="center"/>
              <w:rPr>
                <w:rFonts w:ascii="Arial" w:hAnsi="Arial" w:eastAsia="宋体" w:cs="Times New Roman"/>
                <w:sz w:val="18"/>
                <w:szCs w:val="20"/>
                <w:lang w:val="en-GB" w:eastAsia="en-US" w:bidi="ar-SA"/>
              </w:rPr>
            </w:pPr>
            <w:r>
              <w:rPr>
                <w:rFonts w:ascii="Arial" w:hAnsi="Arial" w:eastAsia="宋体"/>
                <w:sz w:val="18"/>
                <w:szCs w:val="20"/>
              </w:rPr>
              <w:t>TBD</w:t>
            </w:r>
          </w:p>
        </w:tc>
        <w:tc>
          <w:tcPr>
            <w:tcW w:w="499" w:type="pct"/>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N/A</w:t>
            </w:r>
          </w:p>
        </w:tc>
        <w:tc>
          <w:tcPr>
            <w:tcW w:w="642" w:type="pct"/>
            <w:shd w:val="clear" w:color="auto" w:fill="auto"/>
            <w:tcMar>
              <w:left w:w="57" w:type="dxa"/>
              <w:right w:w="57" w:type="dxa"/>
            </w:tcMar>
          </w:tcPr>
          <w:p>
            <w:pPr>
              <w:keepNext/>
              <w:keepLines/>
              <w:widowControl/>
              <w:autoSpaceDE/>
              <w:autoSpaceDN/>
              <w:adjustRightInd/>
              <w:spacing w:after="0"/>
              <w:jc w:val="center"/>
              <w:rPr>
                <w:rFonts w:ascii="Arial" w:hAnsi="Arial" w:eastAsia="宋体"/>
                <w:sz w:val="18"/>
                <w:szCs w:val="20"/>
              </w:rPr>
            </w:pPr>
            <w:r>
              <w:rPr>
                <w:rFonts w:ascii="Arial" w:hAnsi="Arial" w:eastAsia="宋体"/>
                <w:sz w:val="18"/>
                <w:szCs w:val="20"/>
              </w:rPr>
              <w:t>Stationary</w:t>
            </w:r>
          </w:p>
        </w:tc>
        <w:tc>
          <w:tcPr>
            <w:tcW w:w="502" w:type="pct"/>
            <w:shd w:val="clear" w:color="auto" w:fill="auto"/>
            <w:tcMar>
              <w:left w:w="57" w:type="dxa"/>
              <w:right w:w="57" w:type="dxa"/>
            </w:tcMar>
          </w:tcPr>
          <w:p>
            <w:pPr>
              <w:keepNext/>
              <w:keepLines/>
              <w:widowControl/>
              <w:autoSpaceDE/>
              <w:autoSpaceDN/>
              <w:adjustRightInd/>
              <w:spacing w:after="0"/>
              <w:jc w:val="center"/>
              <w:rPr>
                <w:rFonts w:hint="default" w:ascii="Arial" w:hAnsi="Arial" w:eastAsia="宋体"/>
                <w:sz w:val="18"/>
                <w:szCs w:val="20"/>
                <w:lang w:val="en-US" w:eastAsia="zh-CN"/>
              </w:rPr>
            </w:pPr>
            <w:r>
              <w:rPr>
                <w:rFonts w:hint="eastAsia" w:ascii="Arial" w:hAnsi="Arial" w:eastAsia="宋体"/>
                <w:sz w:val="18"/>
                <w:szCs w:val="20"/>
                <w:lang w:val="en-US" w:eastAsia="zh-CN"/>
              </w:rPr>
              <w:t>Ocean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9"/>
            <w:shd w:val="clear" w:color="auto" w:fill="auto"/>
          </w:tcPr>
          <w:p>
            <w:pPr>
              <w:keepNext/>
              <w:keepLines/>
              <w:widowControl/>
              <w:autoSpaceDE/>
              <w:autoSpaceDN/>
              <w:adjustRightInd/>
              <w:spacing w:after="0"/>
              <w:jc w:val="left"/>
              <w:rPr>
                <w:rFonts w:ascii="Arial" w:hAnsi="Arial" w:eastAsia="宋体"/>
                <w:sz w:val="18"/>
                <w:szCs w:val="20"/>
              </w:rPr>
            </w:pPr>
            <w:r>
              <w:rPr>
                <w:rFonts w:ascii="Arial" w:hAnsi="Arial" w:eastAsia="宋体"/>
                <w:sz w:val="18"/>
                <w:szCs w:val="20"/>
              </w:rPr>
              <w:t>Note 1: Area capacity is averaged over a satellite beam.</w:t>
            </w:r>
          </w:p>
          <w:p>
            <w:pPr>
              <w:keepNext/>
              <w:keepLines/>
              <w:widowControl/>
              <w:autoSpaceDE/>
              <w:autoSpaceDN/>
              <w:adjustRightInd/>
              <w:spacing w:after="0"/>
              <w:jc w:val="left"/>
              <w:rPr>
                <w:rFonts w:ascii="Arial" w:hAnsi="Arial" w:eastAsia="宋体"/>
                <w:sz w:val="18"/>
                <w:szCs w:val="20"/>
              </w:rPr>
            </w:pPr>
            <w:r>
              <w:rPr>
                <w:rFonts w:ascii="Arial" w:hAnsi="Arial" w:eastAsia="宋体"/>
                <w:sz w:val="18"/>
                <w:szCs w:val="20"/>
              </w:rPr>
              <w:t>Note 2: Data rates based on Extreme long-range coverage target values in clause 6.17.2. User density based on rural area in Table 7.1-1.</w:t>
            </w:r>
          </w:p>
          <w:p>
            <w:pPr>
              <w:keepNext/>
              <w:keepLines/>
              <w:widowControl/>
              <w:autoSpaceDE/>
              <w:autoSpaceDN/>
              <w:adjustRightInd/>
              <w:spacing w:after="0"/>
              <w:jc w:val="left"/>
              <w:rPr>
                <w:rFonts w:ascii="Arial" w:hAnsi="Arial" w:eastAsia="宋体"/>
                <w:sz w:val="18"/>
                <w:szCs w:val="20"/>
              </w:rPr>
            </w:pPr>
            <w:r>
              <w:rPr>
                <w:rFonts w:ascii="Arial" w:hAnsi="Arial" w:eastAsia="宋体"/>
                <w:sz w:val="18"/>
                <w:szCs w:val="20"/>
              </w:rPr>
              <w:t>Note 3: Based on Table 7.1-1</w:t>
            </w:r>
          </w:p>
          <w:p>
            <w:pPr>
              <w:keepNext/>
              <w:keepLines/>
              <w:widowControl/>
              <w:autoSpaceDE/>
              <w:autoSpaceDN/>
              <w:adjustRightInd/>
              <w:spacing w:after="0"/>
              <w:jc w:val="left"/>
              <w:rPr>
                <w:rFonts w:ascii="Arial" w:hAnsi="Arial" w:eastAsia="宋体"/>
                <w:sz w:val="18"/>
                <w:szCs w:val="20"/>
              </w:rPr>
            </w:pPr>
            <w:r>
              <w:rPr>
                <w:rFonts w:ascii="Arial" w:hAnsi="Arial" w:eastAsia="宋体"/>
                <w:sz w:val="18"/>
                <w:szCs w:val="20"/>
              </w:rPr>
              <w:t>Note 4: Based on an assumption of 120 users per plane</w:t>
            </w:r>
            <w:r>
              <w:rPr>
                <w:rFonts w:ascii="Arial" w:hAnsi="Arial" w:eastAsia="宋体"/>
                <w:sz w:val="18"/>
                <w:szCs w:val="20"/>
                <w:lang w:eastAsia="fr-FR"/>
              </w:rPr>
              <w:t xml:space="preserve"> 15/7.5 Mbit/s data rate </w:t>
            </w:r>
            <w:r>
              <w:rPr>
                <w:rFonts w:ascii="Arial" w:hAnsi="Arial" w:eastAsia="宋体"/>
                <w:sz w:val="18"/>
                <w:szCs w:val="20"/>
              </w:rPr>
              <w:t>and 20 % activity factor per user</w:t>
            </w:r>
          </w:p>
          <w:p>
            <w:pPr>
              <w:keepNext/>
              <w:keepLines/>
              <w:widowControl/>
              <w:autoSpaceDE/>
              <w:autoSpaceDN/>
              <w:adjustRightInd/>
              <w:spacing w:after="0"/>
              <w:jc w:val="left"/>
              <w:rPr>
                <w:rFonts w:ascii="Arial" w:hAnsi="Arial" w:eastAsia="宋体"/>
                <w:sz w:val="18"/>
                <w:szCs w:val="20"/>
              </w:rPr>
            </w:pPr>
            <w:r>
              <w:rPr>
                <w:rFonts w:ascii="Arial" w:hAnsi="Arial" w:eastAsia="宋体"/>
                <w:sz w:val="18"/>
                <w:szCs w:val="20"/>
              </w:rPr>
              <w:t xml:space="preserve">Note 5: All the values in this table are targeted values and not strict requirements. </w:t>
            </w:r>
          </w:p>
          <w:p>
            <w:pPr>
              <w:keepNext/>
              <w:keepLines/>
              <w:widowControl/>
              <w:autoSpaceDE/>
              <w:autoSpaceDN/>
              <w:adjustRightInd/>
              <w:spacing w:after="0"/>
              <w:jc w:val="left"/>
              <w:rPr>
                <w:rFonts w:ascii="Arial" w:hAnsi="Arial" w:eastAsia="宋体"/>
                <w:sz w:val="18"/>
                <w:szCs w:val="20"/>
              </w:rPr>
            </w:pPr>
            <w:r>
              <w:rPr>
                <w:rFonts w:ascii="Arial" w:hAnsi="Arial" w:eastAsia="宋体"/>
                <w:sz w:val="18"/>
                <w:szCs w:val="20"/>
              </w:rPr>
              <w:t xml:space="preserve">Note 6: Performance requirements for all the values in this table should be analyzed independently for each scenario. </w:t>
            </w:r>
          </w:p>
        </w:tc>
      </w:tr>
    </w:tbl>
    <w:p>
      <w:pPr>
        <w:rPr>
          <w:lang w:eastAsia="zh-CN"/>
        </w:rPr>
      </w:pPr>
    </w:p>
    <w:p>
      <w:pPr>
        <w:pStyle w:val="3"/>
        <w:tabs>
          <w:tab w:val="left" w:pos="576"/>
          <w:tab w:val="clear" w:pos="3411"/>
        </w:tabs>
        <w:ind w:left="576"/>
        <w:rPr>
          <w:lang w:eastAsia="zh-CN"/>
        </w:rPr>
      </w:pPr>
      <w:r>
        <w:rPr>
          <w:rFonts w:hint="eastAsia"/>
          <w:lang w:val="en-US" w:eastAsia="zh-CN"/>
        </w:rPr>
        <w:t>Repetitions for improved link budget</w:t>
      </w:r>
    </w:p>
    <w:p>
      <w:pPr>
        <w:rPr>
          <w:rFonts w:hint="eastAsia"/>
          <w:lang w:val="en-US" w:eastAsia="zh-CN"/>
        </w:rPr>
      </w:pPr>
      <w:r>
        <w:rPr>
          <w:rFonts w:hint="eastAsia"/>
          <w:lang w:val="en-US" w:eastAsia="zh-CN"/>
        </w:rPr>
        <w:t xml:space="preserve">In satellite mobile communication system, not only the movement of mobile terminal will cause Doppler effect, but also the movement of satellite will introduce Doppler frequency shift. In geostationary satellite communication system, Doppler frequency shift mainly comes from the movement of mobile terminal; In the non geostationary orbit satellite system, the moving speed of the satellite is much faster than that of the terminal. Therefore, it can be considered that the high-speed movement of the satellite relative to the ground user is the main component of Doppler frequency shift. Besides, as mentioned in [7], </w:t>
      </w:r>
      <w:r>
        <w:rPr>
          <w:rFonts w:hint="default"/>
          <w:lang w:val="en-US" w:eastAsia="zh-CN"/>
        </w:rPr>
        <w:t>“</w:t>
      </w:r>
      <w:r>
        <w:rPr>
          <w:rFonts w:hint="eastAsia"/>
          <w:lang w:val="en-US" w:eastAsia="zh-CN"/>
        </w:rPr>
        <w:t>Observation 7: High doppler shift, NTN channel condition and additional loss may lead to additional requirement on repetition for IoT UE.</w:t>
      </w:r>
      <w:r>
        <w:rPr>
          <w:rFonts w:hint="default"/>
          <w:lang w:val="en-US" w:eastAsia="zh-CN"/>
        </w:rPr>
        <w:t>”</w:t>
      </w:r>
      <w:r>
        <w:rPr>
          <w:rFonts w:hint="eastAsia"/>
          <w:lang w:val="en-US" w:eastAsia="zh-CN"/>
        </w:rPr>
        <w:t xml:space="preserve"> Thus, Table 2 described the Doppler frequency shift in different orbit height. </w:t>
      </w:r>
    </w:p>
    <w:p>
      <w:pPr>
        <w:rPr>
          <w:rFonts w:hint="default"/>
          <w:i/>
          <w:iCs/>
          <w:lang w:val="en-US" w:eastAsia="zh-CN"/>
        </w:rPr>
      </w:pPr>
      <w:r>
        <w:rPr>
          <w:rFonts w:hint="eastAsia"/>
          <w:b/>
          <w:bCs/>
          <w:i/>
          <w:iCs/>
          <w:lang w:val="en-US" w:eastAsia="zh-CN"/>
        </w:rPr>
        <w:t>Proposal 2:</w:t>
      </w:r>
      <w:r>
        <w:rPr>
          <w:rFonts w:hint="eastAsia"/>
          <w:i/>
          <w:iCs/>
          <w:lang w:val="en-US" w:eastAsia="zh-CN"/>
        </w:rPr>
        <w:t xml:space="preserve"> Different orbit altitude will lead to different Doppler shift, and the high Doppler shift should taken into account in link budget.</w:t>
      </w:r>
    </w:p>
    <w:p>
      <w:pPr>
        <w:jc w:val="center"/>
        <w:rPr>
          <w:rFonts w:hint="eastAsia"/>
          <w:lang w:val="en-US" w:eastAsia="zh-CN"/>
        </w:rPr>
      </w:pPr>
      <w:r>
        <w:rPr>
          <w:rFonts w:hint="eastAsia"/>
          <w:b/>
          <w:bCs/>
          <w:lang w:val="en-US" w:eastAsia="zh-CN"/>
        </w:rPr>
        <w:t>Table 2</w:t>
      </w:r>
      <w:r>
        <w:rPr>
          <w:rFonts w:hint="eastAsia"/>
          <w:lang w:val="en-US" w:eastAsia="zh-CN"/>
        </w:rPr>
        <w:t xml:space="preserve"> The maximum Doppler frequency shift in different orbit height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hint="default"/>
                <w:vertAlign w:val="baseline"/>
                <w:lang w:val="en-US" w:eastAsia="zh-CN"/>
              </w:rPr>
            </w:pPr>
            <w:r>
              <w:rPr>
                <w:rFonts w:hint="eastAsia"/>
                <w:vertAlign w:val="baseline"/>
                <w:lang w:val="en-US" w:eastAsia="zh-CN"/>
              </w:rPr>
              <w:t>Orbit altitude  （/km）</w:t>
            </w:r>
          </w:p>
        </w:tc>
        <w:tc>
          <w:tcPr>
            <w:tcW w:w="2130" w:type="dxa"/>
          </w:tcPr>
          <w:p>
            <w:pPr>
              <w:rPr>
                <w:rFonts w:hint="default"/>
                <w:vertAlign w:val="baseline"/>
                <w:lang w:val="en-US" w:eastAsia="zh-CN"/>
              </w:rPr>
            </w:pPr>
            <w:r>
              <w:rPr>
                <w:rFonts w:hint="eastAsia"/>
                <w:vertAlign w:val="baseline"/>
                <w:lang w:val="en-US" w:eastAsia="zh-CN"/>
              </w:rPr>
              <w:t>Tangential direction of satellite motion (km/s)</w:t>
            </w:r>
          </w:p>
        </w:tc>
        <w:tc>
          <w:tcPr>
            <w:tcW w:w="2131" w:type="dxa"/>
          </w:tcPr>
          <w:p>
            <w:pPr>
              <w:rPr>
                <w:rFonts w:hint="default"/>
                <w:vertAlign w:val="baseline"/>
                <w:lang w:val="en-US" w:eastAsia="zh-CN"/>
              </w:rPr>
            </w:pPr>
            <w:r>
              <w:rPr>
                <w:rFonts w:hint="eastAsia"/>
                <w:vertAlign w:val="baseline"/>
                <w:lang w:val="en-US" w:eastAsia="zh-CN"/>
              </w:rPr>
              <w:t>Maximum Doppler frequency shift (fc = 1.6 GHz)（kHz）</w:t>
            </w:r>
          </w:p>
        </w:tc>
        <w:tc>
          <w:tcPr>
            <w:tcW w:w="2131" w:type="dxa"/>
          </w:tcPr>
          <w:p>
            <w:pPr>
              <w:rPr>
                <w:rFonts w:hint="eastAsia"/>
                <w:vertAlign w:val="baseline"/>
                <w:lang w:val="en-US" w:eastAsia="zh-CN"/>
              </w:rPr>
            </w:pPr>
            <w:r>
              <w:rPr>
                <w:rFonts w:hint="eastAsia"/>
                <w:vertAlign w:val="baseline"/>
                <w:lang w:val="en-US" w:eastAsia="zh-CN"/>
              </w:rPr>
              <w:t>Maximum Doppler frequency shift (fc = 30 GHz)（kHz）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hint="default"/>
                <w:vertAlign w:val="baseline"/>
                <w:lang w:val="en-US" w:eastAsia="zh-CN"/>
              </w:rPr>
            </w:pPr>
            <w:r>
              <w:rPr>
                <w:rFonts w:hint="eastAsia"/>
                <w:vertAlign w:val="baseline"/>
                <w:lang w:val="en-US" w:eastAsia="zh-CN"/>
              </w:rPr>
              <w:t>200</w:t>
            </w:r>
          </w:p>
        </w:tc>
        <w:tc>
          <w:tcPr>
            <w:tcW w:w="2130" w:type="dxa"/>
          </w:tcPr>
          <w:p>
            <w:pPr>
              <w:rPr>
                <w:rFonts w:hint="default"/>
                <w:vertAlign w:val="baseline"/>
                <w:lang w:val="en-US" w:eastAsia="zh-CN"/>
              </w:rPr>
            </w:pPr>
            <w:r>
              <w:rPr>
                <w:rFonts w:hint="eastAsia"/>
                <w:vertAlign w:val="baseline"/>
                <w:lang w:val="en-US" w:eastAsia="zh-CN"/>
              </w:rPr>
              <w:t>7.797</w:t>
            </w:r>
          </w:p>
        </w:tc>
        <w:tc>
          <w:tcPr>
            <w:tcW w:w="2131" w:type="dxa"/>
          </w:tcPr>
          <w:p>
            <w:pPr>
              <w:rPr>
                <w:rFonts w:hint="default"/>
                <w:vertAlign w:val="baseline"/>
                <w:lang w:val="en-US" w:eastAsia="zh-CN"/>
              </w:rPr>
            </w:pPr>
            <w:r>
              <w:rPr>
                <w:rFonts w:hint="eastAsia"/>
                <w:vertAlign w:val="baseline"/>
                <w:lang w:val="en-US" w:eastAsia="zh-CN"/>
              </w:rPr>
              <w:t>39.7</w:t>
            </w:r>
          </w:p>
        </w:tc>
        <w:tc>
          <w:tcPr>
            <w:tcW w:w="2131" w:type="dxa"/>
          </w:tcPr>
          <w:p>
            <w:pPr>
              <w:rPr>
                <w:rFonts w:hint="default"/>
                <w:vertAlign w:val="baseline"/>
                <w:lang w:val="en-US" w:eastAsia="zh-CN"/>
              </w:rPr>
            </w:pPr>
            <w:r>
              <w:rPr>
                <w:rFonts w:hint="eastAsia"/>
                <w:vertAlign w:val="baseline"/>
                <w:lang w:val="en-US" w:eastAsia="zh-CN"/>
              </w:rPr>
              <w:t>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hint="default"/>
                <w:vertAlign w:val="baseline"/>
                <w:lang w:val="en-US" w:eastAsia="zh-CN"/>
              </w:rPr>
            </w:pPr>
            <w:r>
              <w:rPr>
                <w:rFonts w:hint="eastAsia"/>
                <w:vertAlign w:val="baseline"/>
                <w:lang w:val="en-US" w:eastAsia="zh-CN"/>
              </w:rPr>
              <w:t>400</w:t>
            </w:r>
          </w:p>
        </w:tc>
        <w:tc>
          <w:tcPr>
            <w:tcW w:w="2130" w:type="dxa"/>
          </w:tcPr>
          <w:p>
            <w:pPr>
              <w:rPr>
                <w:rFonts w:hint="default"/>
                <w:vertAlign w:val="baseline"/>
                <w:lang w:val="en-US" w:eastAsia="zh-CN"/>
              </w:rPr>
            </w:pPr>
            <w:r>
              <w:rPr>
                <w:rFonts w:hint="eastAsia"/>
                <w:vertAlign w:val="baseline"/>
                <w:lang w:val="en-US" w:eastAsia="zh-CN"/>
              </w:rPr>
              <w:t>7.681</w:t>
            </w:r>
          </w:p>
        </w:tc>
        <w:tc>
          <w:tcPr>
            <w:tcW w:w="2131" w:type="dxa"/>
          </w:tcPr>
          <w:p>
            <w:pPr>
              <w:rPr>
                <w:rFonts w:hint="default"/>
                <w:vertAlign w:val="baseline"/>
                <w:lang w:val="en-US" w:eastAsia="zh-CN"/>
              </w:rPr>
            </w:pPr>
            <w:r>
              <w:rPr>
                <w:rFonts w:hint="eastAsia"/>
                <w:vertAlign w:val="baseline"/>
                <w:lang w:val="en-US" w:eastAsia="zh-CN"/>
              </w:rPr>
              <w:t>38</w:t>
            </w:r>
          </w:p>
        </w:tc>
        <w:tc>
          <w:tcPr>
            <w:tcW w:w="2131" w:type="dxa"/>
          </w:tcPr>
          <w:p>
            <w:pPr>
              <w:rPr>
                <w:rFonts w:hint="default"/>
                <w:vertAlign w:val="baseline"/>
                <w:lang w:val="en-US" w:eastAsia="zh-CN"/>
              </w:rPr>
            </w:pPr>
            <w:r>
              <w:rPr>
                <w:rFonts w:hint="eastAsia"/>
                <w:vertAlign w:val="baseline"/>
                <w:lang w:val="en-US" w:eastAsia="zh-CN"/>
              </w:rPr>
              <w:t>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hint="default"/>
                <w:vertAlign w:val="baseline"/>
                <w:lang w:val="en-US" w:eastAsia="zh-CN"/>
              </w:rPr>
            </w:pPr>
            <w:r>
              <w:rPr>
                <w:rFonts w:hint="eastAsia"/>
                <w:vertAlign w:val="baseline"/>
                <w:lang w:val="en-US" w:eastAsia="zh-CN"/>
              </w:rPr>
              <w:t>800</w:t>
            </w:r>
          </w:p>
        </w:tc>
        <w:tc>
          <w:tcPr>
            <w:tcW w:w="2130" w:type="dxa"/>
          </w:tcPr>
          <w:p>
            <w:pPr>
              <w:rPr>
                <w:rFonts w:hint="default"/>
                <w:vertAlign w:val="baseline"/>
                <w:lang w:val="en-US" w:eastAsia="zh-CN"/>
              </w:rPr>
            </w:pPr>
            <w:r>
              <w:rPr>
                <w:rFonts w:hint="eastAsia"/>
                <w:vertAlign w:val="baseline"/>
                <w:lang w:val="en-US" w:eastAsia="zh-CN"/>
              </w:rPr>
              <w:t>7.463</w:t>
            </w:r>
          </w:p>
        </w:tc>
        <w:tc>
          <w:tcPr>
            <w:tcW w:w="2131" w:type="dxa"/>
          </w:tcPr>
          <w:p>
            <w:pPr>
              <w:rPr>
                <w:rFonts w:hint="default"/>
                <w:vertAlign w:val="baseline"/>
                <w:lang w:val="en-US" w:eastAsia="zh-CN"/>
              </w:rPr>
            </w:pPr>
            <w:r>
              <w:rPr>
                <w:rFonts w:hint="eastAsia"/>
                <w:vertAlign w:val="baseline"/>
                <w:lang w:val="en-US" w:eastAsia="zh-CN"/>
              </w:rPr>
              <w:t>34.9</w:t>
            </w:r>
          </w:p>
        </w:tc>
        <w:tc>
          <w:tcPr>
            <w:tcW w:w="2131" w:type="dxa"/>
          </w:tcPr>
          <w:p>
            <w:pPr>
              <w:rPr>
                <w:rFonts w:hint="default"/>
                <w:vertAlign w:val="baseline"/>
                <w:lang w:val="en-US" w:eastAsia="zh-CN"/>
              </w:rPr>
            </w:pPr>
            <w:r>
              <w:rPr>
                <w:rFonts w:hint="eastAsia"/>
                <w:vertAlign w:val="baseline"/>
                <w:lang w:val="en-US" w:eastAsia="zh-CN"/>
              </w:rPr>
              <w:t>654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hint="default"/>
                <w:vertAlign w:val="baseline"/>
                <w:lang w:val="en-US" w:eastAsia="zh-CN"/>
              </w:rPr>
            </w:pPr>
            <w:r>
              <w:rPr>
                <w:rFonts w:hint="eastAsia"/>
                <w:vertAlign w:val="baseline"/>
                <w:lang w:val="en-US" w:eastAsia="zh-CN"/>
              </w:rPr>
              <w:t>1400</w:t>
            </w:r>
          </w:p>
        </w:tc>
        <w:tc>
          <w:tcPr>
            <w:tcW w:w="2130" w:type="dxa"/>
          </w:tcPr>
          <w:p>
            <w:pPr>
              <w:rPr>
                <w:rFonts w:hint="default"/>
                <w:vertAlign w:val="baseline"/>
                <w:lang w:val="en-US" w:eastAsia="zh-CN"/>
              </w:rPr>
            </w:pPr>
            <w:r>
              <w:rPr>
                <w:rFonts w:hint="eastAsia"/>
                <w:vertAlign w:val="baseline"/>
                <w:lang w:val="en-US" w:eastAsia="zh-CN"/>
              </w:rPr>
              <w:t>7.168</w:t>
            </w:r>
          </w:p>
        </w:tc>
        <w:tc>
          <w:tcPr>
            <w:tcW w:w="2131" w:type="dxa"/>
          </w:tcPr>
          <w:p>
            <w:pPr>
              <w:rPr>
                <w:rFonts w:hint="default"/>
                <w:vertAlign w:val="baseline"/>
                <w:lang w:val="en-US" w:eastAsia="zh-CN"/>
              </w:rPr>
            </w:pPr>
            <w:r>
              <w:rPr>
                <w:rFonts w:hint="eastAsia"/>
                <w:vertAlign w:val="baseline"/>
                <w:lang w:val="en-US" w:eastAsia="zh-CN"/>
              </w:rPr>
              <w:t>30.9</w:t>
            </w:r>
          </w:p>
        </w:tc>
        <w:tc>
          <w:tcPr>
            <w:tcW w:w="2131" w:type="dxa"/>
          </w:tcPr>
          <w:p>
            <w:pPr>
              <w:rPr>
                <w:rFonts w:hint="default"/>
                <w:vertAlign w:val="baseline"/>
                <w:lang w:val="en-US" w:eastAsia="zh-CN"/>
              </w:rPr>
            </w:pPr>
            <w:r>
              <w:rPr>
                <w:rFonts w:hint="eastAsia"/>
                <w:vertAlign w:val="baseline"/>
                <w:lang w:val="en-US" w:eastAsia="zh-CN"/>
              </w:rPr>
              <w:t>579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hint="default"/>
                <w:vertAlign w:val="baseline"/>
                <w:lang w:val="en-US" w:eastAsia="zh-CN"/>
              </w:rPr>
            </w:pPr>
            <w:r>
              <w:rPr>
                <w:rFonts w:hint="eastAsia"/>
                <w:vertAlign w:val="baseline"/>
                <w:lang w:val="en-US" w:eastAsia="zh-CN"/>
              </w:rPr>
              <w:t>5000</w:t>
            </w:r>
          </w:p>
        </w:tc>
        <w:tc>
          <w:tcPr>
            <w:tcW w:w="2130" w:type="dxa"/>
          </w:tcPr>
          <w:p>
            <w:pPr>
              <w:rPr>
                <w:rFonts w:hint="default"/>
                <w:vertAlign w:val="baseline"/>
                <w:lang w:val="en-US" w:eastAsia="zh-CN"/>
              </w:rPr>
            </w:pPr>
            <w:r>
              <w:rPr>
                <w:rFonts w:hint="eastAsia"/>
                <w:vertAlign w:val="baseline"/>
                <w:lang w:val="en-US" w:eastAsia="zh-CN"/>
              </w:rPr>
              <w:t>5.924</w:t>
            </w:r>
          </w:p>
        </w:tc>
        <w:tc>
          <w:tcPr>
            <w:tcW w:w="2131" w:type="dxa"/>
          </w:tcPr>
          <w:p>
            <w:pPr>
              <w:rPr>
                <w:rFonts w:hint="default"/>
                <w:vertAlign w:val="baseline"/>
                <w:lang w:val="en-US" w:eastAsia="zh-CN"/>
              </w:rPr>
            </w:pPr>
            <w:r>
              <w:rPr>
                <w:rFonts w:hint="eastAsia"/>
                <w:vertAlign w:val="baseline"/>
                <w:lang w:val="en-US" w:eastAsia="zh-CN"/>
              </w:rPr>
              <w:t>17.6</w:t>
            </w:r>
          </w:p>
        </w:tc>
        <w:tc>
          <w:tcPr>
            <w:tcW w:w="2131" w:type="dxa"/>
          </w:tcPr>
          <w:p>
            <w:pPr>
              <w:rPr>
                <w:rFonts w:hint="default"/>
                <w:vertAlign w:val="baseline"/>
                <w:lang w:val="en-US" w:eastAsia="zh-CN"/>
              </w:rPr>
            </w:pPr>
            <w:r>
              <w:rPr>
                <w:rFonts w:hint="eastAsia"/>
                <w:vertAlign w:val="baseline"/>
                <w:lang w:val="en-US" w:eastAsia="zh-CN"/>
              </w:rPr>
              <w:t>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hint="default"/>
                <w:vertAlign w:val="baseline"/>
                <w:lang w:val="en-US" w:eastAsia="zh-CN"/>
              </w:rPr>
            </w:pPr>
            <w:r>
              <w:rPr>
                <w:rFonts w:hint="eastAsia"/>
                <w:vertAlign w:val="baseline"/>
                <w:lang w:val="en-US" w:eastAsia="zh-CN"/>
              </w:rPr>
              <w:t>10000</w:t>
            </w:r>
          </w:p>
        </w:tc>
        <w:tc>
          <w:tcPr>
            <w:tcW w:w="2130" w:type="dxa"/>
          </w:tcPr>
          <w:p>
            <w:pPr>
              <w:rPr>
                <w:rFonts w:hint="eastAsia"/>
                <w:vertAlign w:val="baseline"/>
                <w:lang w:val="en-US" w:eastAsia="zh-CN"/>
              </w:rPr>
            </w:pPr>
            <w:r>
              <w:rPr>
                <w:rFonts w:hint="eastAsia"/>
                <w:vertAlign w:val="baseline"/>
                <w:lang w:val="en-US" w:eastAsia="zh-CN"/>
              </w:rPr>
              <w:t>4.936</w:t>
            </w:r>
          </w:p>
        </w:tc>
        <w:tc>
          <w:tcPr>
            <w:tcW w:w="2131" w:type="dxa"/>
          </w:tcPr>
          <w:p>
            <w:pPr>
              <w:rPr>
                <w:rFonts w:hint="default"/>
                <w:vertAlign w:val="baseline"/>
                <w:lang w:val="en-US" w:eastAsia="zh-CN"/>
              </w:rPr>
            </w:pPr>
            <w:r>
              <w:rPr>
                <w:rFonts w:hint="eastAsia"/>
                <w:vertAlign w:val="baseline"/>
                <w:lang w:val="en-US" w:eastAsia="zh-CN"/>
              </w:rPr>
              <w:t>10.4</w:t>
            </w:r>
          </w:p>
        </w:tc>
        <w:tc>
          <w:tcPr>
            <w:tcW w:w="2131" w:type="dxa"/>
          </w:tcPr>
          <w:p>
            <w:pPr>
              <w:rPr>
                <w:rFonts w:hint="default"/>
                <w:vertAlign w:val="baseline"/>
                <w:lang w:val="en-US" w:eastAsia="zh-CN"/>
              </w:rPr>
            </w:pPr>
            <w:r>
              <w:rPr>
                <w:rFonts w:hint="eastAsia"/>
                <w:vertAlign w:val="baseline"/>
                <w:lang w:val="en-US" w:eastAsia="zh-CN"/>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hint="default"/>
                <w:vertAlign w:val="baseline"/>
                <w:lang w:val="en-US" w:eastAsia="zh-CN"/>
              </w:rPr>
            </w:pPr>
            <w:r>
              <w:rPr>
                <w:rFonts w:hint="eastAsia"/>
                <w:vertAlign w:val="baseline"/>
                <w:lang w:val="en-US" w:eastAsia="zh-CN"/>
              </w:rPr>
              <w:t>20000</w:t>
            </w:r>
          </w:p>
        </w:tc>
        <w:tc>
          <w:tcPr>
            <w:tcW w:w="2130" w:type="dxa"/>
          </w:tcPr>
          <w:p>
            <w:pPr>
              <w:rPr>
                <w:rFonts w:hint="default"/>
                <w:vertAlign w:val="baseline"/>
                <w:lang w:val="en-US" w:eastAsia="zh-CN"/>
              </w:rPr>
            </w:pPr>
            <w:r>
              <w:rPr>
                <w:rFonts w:hint="eastAsia"/>
                <w:vertAlign w:val="baseline"/>
                <w:lang w:val="en-US" w:eastAsia="zh-CN"/>
              </w:rPr>
              <w:t>3.889</w:t>
            </w:r>
          </w:p>
        </w:tc>
        <w:tc>
          <w:tcPr>
            <w:tcW w:w="2131" w:type="dxa"/>
          </w:tcPr>
          <w:p>
            <w:pPr>
              <w:rPr>
                <w:rFonts w:hint="default"/>
                <w:vertAlign w:val="baseline"/>
                <w:lang w:val="en-US" w:eastAsia="zh-CN"/>
              </w:rPr>
            </w:pPr>
            <w:r>
              <w:rPr>
                <w:rFonts w:hint="eastAsia"/>
                <w:vertAlign w:val="baseline"/>
                <w:lang w:val="en-US" w:eastAsia="zh-CN"/>
              </w:rPr>
              <w:t>5.05</w:t>
            </w:r>
          </w:p>
        </w:tc>
        <w:tc>
          <w:tcPr>
            <w:tcW w:w="2131" w:type="dxa"/>
          </w:tcPr>
          <w:p>
            <w:pPr>
              <w:rPr>
                <w:rFonts w:hint="default"/>
                <w:vertAlign w:val="baseline"/>
                <w:lang w:val="en-US" w:eastAsia="zh-CN"/>
              </w:rPr>
            </w:pPr>
            <w:r>
              <w:rPr>
                <w:rFonts w:hint="eastAsia"/>
                <w:vertAlign w:val="baseline"/>
                <w:lang w:val="en-US" w:eastAsia="zh-CN"/>
              </w:rPr>
              <w:t>102</w:t>
            </w:r>
          </w:p>
        </w:tc>
      </w:tr>
    </w:tbl>
    <w:p>
      <w:pPr>
        <w:pStyle w:val="2"/>
        <w:ind w:left="431" w:hanging="431"/>
        <w:rPr>
          <w:rFonts w:eastAsiaTheme="minorEastAsia"/>
          <w:lang w:eastAsia="zh-CN"/>
        </w:rPr>
      </w:pPr>
      <w:r>
        <w:rPr>
          <w:rFonts w:eastAsiaTheme="minorEastAsia"/>
          <w:lang w:eastAsia="zh-CN"/>
        </w:rPr>
        <w:t>Conclusions</w:t>
      </w:r>
    </w:p>
    <w:p>
      <w:pPr>
        <w:rPr>
          <w:rFonts w:hint="eastAsia"/>
          <w:lang w:val="en-US" w:eastAsia="zh-CN"/>
        </w:rPr>
      </w:pPr>
      <w:r>
        <w:rPr>
          <w:lang w:eastAsia="zh-CN"/>
        </w:rPr>
        <w:t xml:space="preserve">In summary, we discuss on the </w:t>
      </w:r>
      <w:r>
        <w:rPr>
          <w:rFonts w:hint="eastAsia"/>
          <w:lang w:val="en-US" w:eastAsia="zh-CN"/>
        </w:rPr>
        <w:t>use cases and present the maximum Doppler shift under different orbit altitude. The following proposals are made:</w:t>
      </w:r>
    </w:p>
    <w:p>
      <w:pPr>
        <w:rPr>
          <w:rFonts w:hint="default"/>
          <w:lang w:val="en-US" w:eastAsia="zh-CN"/>
        </w:rPr>
      </w:pPr>
      <w:r>
        <w:rPr>
          <w:rFonts w:hint="eastAsia"/>
          <w:b/>
          <w:i/>
          <w:lang w:eastAsia="zh-CN"/>
        </w:rPr>
        <w:t>P</w:t>
      </w:r>
      <w:r>
        <w:rPr>
          <w:b/>
          <w:i/>
          <w:lang w:eastAsia="zh-CN"/>
        </w:rPr>
        <w:t xml:space="preserve">roposal 1: </w:t>
      </w:r>
      <w:r>
        <w:rPr>
          <w:rFonts w:hint="eastAsia"/>
          <w:b w:val="0"/>
          <w:bCs/>
          <w:i/>
          <w:lang w:val="en-US" w:eastAsia="zh-CN"/>
        </w:rPr>
        <w:t xml:space="preserve">Some typical use cases and their performance requirements in IoT over NTN should to be enriched. </w:t>
      </w:r>
    </w:p>
    <w:p>
      <w:pPr>
        <w:rPr>
          <w:i/>
          <w:lang w:eastAsia="zh-CN"/>
        </w:rPr>
      </w:pPr>
      <w:r>
        <w:rPr>
          <w:rFonts w:hint="eastAsia"/>
          <w:b/>
          <w:bCs/>
          <w:i/>
          <w:iCs/>
          <w:lang w:val="en-US" w:eastAsia="zh-CN"/>
        </w:rPr>
        <w:t>Proposal 2:</w:t>
      </w:r>
      <w:r>
        <w:rPr>
          <w:rFonts w:hint="eastAsia"/>
          <w:i/>
          <w:iCs/>
          <w:lang w:val="en-US" w:eastAsia="zh-CN"/>
        </w:rPr>
        <w:t xml:space="preserve"> Different orbit altitude will lead to different Doppler shift, and the high doppler shift should taken into account in link budget.</w:t>
      </w:r>
    </w:p>
    <w:p>
      <w:pPr>
        <w:pStyle w:val="2"/>
        <w:numPr>
          <w:ilvl w:val="0"/>
          <w:numId w:val="0"/>
        </w:numPr>
        <w:tabs>
          <w:tab w:val="left" w:pos="720"/>
        </w:tabs>
        <w:ind w:left="432" w:hanging="432"/>
        <w:rPr>
          <w:rFonts w:eastAsiaTheme="minorEastAsia"/>
        </w:rPr>
      </w:pPr>
      <w:r>
        <w:rPr>
          <w:rFonts w:eastAsiaTheme="minorEastAsia"/>
        </w:rPr>
        <w:t>References</w:t>
      </w:r>
    </w:p>
    <w:p>
      <w:pPr>
        <w:rPr>
          <w:rFonts w:hint="eastAsia"/>
        </w:rPr>
      </w:pPr>
      <w:r>
        <w:rPr>
          <w:rFonts w:hint="eastAsia"/>
        </w:rPr>
        <w:t>[1]RP-210868, “New Study WID on NB-IoT/eTMC support for NTN”, MediaTek, RAN#91-e, March 2021</w:t>
      </w:r>
    </w:p>
    <w:p>
      <w:pPr>
        <w:rPr>
          <w:rFonts w:hint="eastAsia"/>
        </w:rPr>
      </w:pPr>
      <w:r>
        <w:rPr>
          <w:rFonts w:hint="eastAsia"/>
        </w:rPr>
        <w:t>[2]RP-210915, “Moderator's summary for email discussion [91E][42][NTN_IoT_roadmap]”, Ericsson (RAN1 Vice-Chair), RAN#91-e, March 2021</w:t>
      </w:r>
    </w:p>
    <w:p>
      <w:pPr>
        <w:pStyle w:val="9"/>
        <w:numPr>
          <w:ilvl w:val="0"/>
          <w:numId w:val="0"/>
        </w:numPr>
        <w:ind w:leftChars="0"/>
        <w:rPr>
          <w:lang w:val="en-US"/>
        </w:rPr>
      </w:pPr>
      <w:r>
        <w:rPr>
          <w:rFonts w:hint="eastAsia"/>
          <w:lang w:val="en-US" w:eastAsia="zh-CN"/>
        </w:rPr>
        <w:t>[3]</w:t>
      </w:r>
      <w:r>
        <w:rPr>
          <w:lang w:val="en-US"/>
        </w:rPr>
        <w:t>RP-210906, Way forward on new proposals, Nokia (RAN Chair), RAN#91-e, March 2021</w:t>
      </w:r>
    </w:p>
    <w:p>
      <w:pPr>
        <w:rPr>
          <w:rFonts w:hint="eastAsia"/>
          <w:lang w:eastAsia="zh-CN"/>
        </w:rPr>
      </w:pPr>
      <w:r>
        <w:rPr>
          <w:rFonts w:hint="eastAsia"/>
          <w:lang w:val="en-US" w:eastAsia="zh-CN"/>
        </w:rPr>
        <w:t>[4]</w:t>
      </w:r>
      <w:r>
        <w:rPr>
          <w:rFonts w:hint="eastAsia"/>
          <w:lang w:eastAsia="zh-CN"/>
        </w:rPr>
        <w:t>RAN1#104-bis-e Chairman's Notes.</w:t>
      </w:r>
    </w:p>
    <w:bookmarkEnd w:id="1"/>
    <w:bookmarkEnd w:id="2"/>
    <w:bookmarkEnd w:id="3"/>
    <w:p>
      <w:pPr>
        <w:rPr>
          <w:rFonts w:hint="eastAsia"/>
          <w:lang w:eastAsia="zh-CN"/>
        </w:rPr>
      </w:pPr>
      <w:bookmarkStart w:id="4" w:name="_Ref68616885"/>
      <w:r>
        <w:rPr>
          <w:rFonts w:hint="eastAsia"/>
          <w:lang w:val="en-US" w:eastAsia="zh-CN"/>
        </w:rPr>
        <w:t>[5]</w:t>
      </w:r>
      <w:r>
        <w:rPr>
          <w:rFonts w:hint="eastAsia"/>
          <w:lang w:eastAsia="zh-CN"/>
        </w:rPr>
        <w:t>3GPP TS 22.261, “Service requirements for the 5G system”.</w:t>
      </w:r>
      <w:bookmarkEnd w:id="4"/>
    </w:p>
    <w:p>
      <w:pPr>
        <w:rPr>
          <w:rFonts w:hint="eastAsia"/>
          <w:lang w:eastAsia="zh-CN"/>
        </w:rPr>
      </w:pPr>
      <w:r>
        <w:rPr>
          <w:rFonts w:hint="eastAsia"/>
          <w:lang w:val="en-US" w:eastAsia="zh-CN"/>
        </w:rPr>
        <w:t>[6]</w:t>
      </w:r>
      <w:r>
        <w:rPr>
          <w:rFonts w:hint="eastAsia"/>
          <w:lang w:eastAsia="zh-CN"/>
        </w:rPr>
        <w:t>R1-2104258</w:t>
      </w:r>
      <w:r>
        <w:rPr>
          <w:rFonts w:hint="eastAsia"/>
          <w:lang w:val="en-US" w:eastAsia="zh-CN"/>
        </w:rPr>
        <w:t>,</w:t>
      </w:r>
      <w:r>
        <w:rPr>
          <w:rFonts w:hint="eastAsia"/>
          <w:lang w:eastAsia="zh-CN"/>
        </w:rPr>
        <w:t xml:space="preserve"> “Application scenarios of IoT in NTN”, Huawei, HiSilicon</w:t>
      </w:r>
    </w:p>
    <w:p>
      <w:pPr>
        <w:rPr>
          <w:rFonts w:hint="default"/>
          <w:lang w:val="en-US"/>
        </w:rPr>
      </w:pPr>
      <w:r>
        <w:rPr>
          <w:rFonts w:hint="eastAsia"/>
          <w:lang w:val="en-US" w:eastAsia="zh-CN"/>
        </w:rPr>
        <w:t>[7]R1-2105404,</w:t>
      </w:r>
      <w:r>
        <w:rPr>
          <w:rFonts w:hint="default"/>
          <w:lang w:val="en-US" w:eastAsia="zh-CN"/>
        </w:rPr>
        <w:t>“</w:t>
      </w:r>
      <w:r>
        <w:rPr>
          <w:rFonts w:hint="eastAsia"/>
          <w:lang w:val="en-US" w:eastAsia="zh-CN"/>
        </w:rPr>
        <w:t>Link budget evaluations and deployment for NB-IoT/eMTC over NTN</w:t>
      </w:r>
      <w:r>
        <w:rPr>
          <w:rFonts w:hint="default"/>
          <w:lang w:val="en-US" w:eastAsia="zh-CN"/>
        </w:rPr>
        <w:t>”</w:t>
      </w:r>
      <w:r>
        <w:rPr>
          <w:rFonts w:hint="eastAsia"/>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614E26"/>
    <w:multiLevelType w:val="multilevel"/>
    <w:tmpl w:val="21614E2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3B557C1"/>
    <w:multiLevelType w:val="multilevel"/>
    <w:tmpl w:val="33B557C1"/>
    <w:lvl w:ilvl="0" w:tentative="0">
      <w:start w:val="1"/>
      <w:numFmt w:val="decimal"/>
      <w:pStyle w:val="2"/>
      <w:lvlText w:val="%1"/>
      <w:lvlJc w:val="left"/>
      <w:pPr>
        <w:tabs>
          <w:tab w:val="left" w:pos="4827"/>
        </w:tabs>
        <w:ind w:left="4827" w:hanging="432"/>
      </w:pPr>
      <w:rPr>
        <w:i w:val="0"/>
        <w:lang w:val="en-US"/>
      </w:rPr>
    </w:lvl>
    <w:lvl w:ilvl="1" w:tentative="0">
      <w:start w:val="1"/>
      <w:numFmt w:val="decimal"/>
      <w:pStyle w:val="3"/>
      <w:lvlText w:val="%1.%2"/>
      <w:lvlJc w:val="left"/>
      <w:pPr>
        <w:tabs>
          <w:tab w:val="left" w:pos="3411"/>
        </w:tabs>
        <w:ind w:left="3411" w:hanging="576"/>
      </w:pPr>
      <w:rPr>
        <w:rFonts w:hint="default" w:ascii="Times New Roman" w:hAnsi="Times New Roman" w:cs="Times New Roman"/>
        <w:b/>
        <w:i w:val="0"/>
        <w:sz w:val="24"/>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2">
    <w:nsid w:val="3A877D64"/>
    <w:multiLevelType w:val="singleLevel"/>
    <w:tmpl w:val="3A877D64"/>
    <w:lvl w:ilvl="0" w:tentative="0">
      <w:start w:val="1"/>
      <w:numFmt w:val="decimal"/>
      <w:pStyle w:val="8"/>
      <w:lvlText w:val="[%1]"/>
      <w:lvlJc w:val="left"/>
      <w:pPr>
        <w:tabs>
          <w:tab w:val="left" w:pos="360"/>
        </w:tabs>
        <w:ind w:left="360" w:hanging="360"/>
      </w:pPr>
      <w:rPr>
        <w:sz w:val="20"/>
        <w:szCs w:val="16"/>
        <w:lang w:val="en-GB"/>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8A5C12"/>
    <w:rsid w:val="089B16CC"/>
    <w:rsid w:val="0F4953A6"/>
    <w:rsid w:val="0FED7A40"/>
    <w:rsid w:val="10440B1A"/>
    <w:rsid w:val="1A2A5E08"/>
    <w:rsid w:val="1F3F0FBC"/>
    <w:rsid w:val="228C5D93"/>
    <w:rsid w:val="262564B9"/>
    <w:rsid w:val="263851B2"/>
    <w:rsid w:val="26AE6A9E"/>
    <w:rsid w:val="2A8A5C12"/>
    <w:rsid w:val="2E24320F"/>
    <w:rsid w:val="2FBC0B14"/>
    <w:rsid w:val="3F2E3513"/>
    <w:rsid w:val="44AA6EA7"/>
    <w:rsid w:val="456900A8"/>
    <w:rsid w:val="45C802BA"/>
    <w:rsid w:val="4C2D345F"/>
    <w:rsid w:val="4F73264D"/>
    <w:rsid w:val="533F1FC6"/>
    <w:rsid w:val="55D115BA"/>
    <w:rsid w:val="572D0831"/>
    <w:rsid w:val="59434106"/>
    <w:rsid w:val="5CED2890"/>
    <w:rsid w:val="5D8E232C"/>
    <w:rsid w:val="6B454982"/>
    <w:rsid w:val="6F2126DE"/>
    <w:rsid w:val="6F802E65"/>
    <w:rsid w:val="70685710"/>
    <w:rsid w:val="7B3138B0"/>
    <w:rsid w:val="7EB219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after="120" w:line="240" w:lineRule="auto"/>
      <w:jc w:val="both"/>
    </w:pPr>
    <w:rPr>
      <w:rFonts w:ascii="Times New Roman" w:hAnsi="Times New Roman" w:cs="Times New Roman" w:eastAsiaTheme="minorEastAsia"/>
      <w:sz w:val="22"/>
      <w:szCs w:val="22"/>
      <w:lang w:val="en-GB" w:eastAsia="en-US" w:bidi="ar-SA"/>
    </w:rPr>
  </w:style>
  <w:style w:type="paragraph" w:styleId="2">
    <w:name w:val="heading 1"/>
    <w:basedOn w:val="1"/>
    <w:next w:val="1"/>
    <w:qFormat/>
    <w:uiPriority w:val="0"/>
    <w:pPr>
      <w:numPr>
        <w:ilvl w:val="0"/>
        <w:numId w:val="1"/>
      </w:numPr>
      <w:outlineLvl w:val="0"/>
    </w:pPr>
    <w:rPr>
      <w:rFonts w:eastAsia="Times New Roman"/>
      <w:b/>
      <w:bCs/>
      <w:sz w:val="28"/>
      <w:szCs w:val="28"/>
    </w:rPr>
  </w:style>
  <w:style w:type="paragraph" w:styleId="3">
    <w:name w:val="heading 2"/>
    <w:basedOn w:val="1"/>
    <w:next w:val="1"/>
    <w:unhideWhenUsed/>
    <w:qFormat/>
    <w:uiPriority w:val="0"/>
    <w:pPr>
      <w:numPr>
        <w:ilvl w:val="1"/>
        <w:numId w:val="1"/>
      </w:numPr>
      <w:outlineLvl w:val="1"/>
    </w:pPr>
    <w:rPr>
      <w:rFonts w:eastAsia="Times New Roman"/>
      <w:b/>
      <w:bCs/>
      <w:sz w:val="24"/>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References"/>
    <w:basedOn w:val="1"/>
    <w:qFormat/>
    <w:uiPriority w:val="0"/>
    <w:pPr>
      <w:widowControl/>
      <w:numPr>
        <w:ilvl w:val="0"/>
        <w:numId w:val="2"/>
      </w:numPr>
      <w:adjustRightInd/>
      <w:spacing w:after="0"/>
    </w:pPr>
    <w:rPr>
      <w:sz w:val="16"/>
      <w:szCs w:val="16"/>
    </w:rPr>
  </w:style>
  <w:style w:type="paragraph" w:styleId="9">
    <w:name w:val="List Paragraph"/>
    <w:basedOn w:val="1"/>
    <w:qFormat/>
    <w:uiPriority w:val="34"/>
    <w:pPr>
      <w:ind w:left="7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278</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2021-08-09T00:41:00Z</dcterms:created>
  <dc:creator>小六</dc:creator>
  <cp:lastModifiedBy>小六</cp:lastModifiedBy>
  <dcterms:modified xsi:type="dcterms:W3CDTF">2021-08-13T08:39:53Z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E8DC60C07A7148C1B5C58034A108692E</vt:lpwstr>
  </property>
</Properties>
</file>